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6E" w:rsidRDefault="00B647FE">
      <w:pPr>
        <w:suppressAutoHyphens/>
        <w:jc w:val="center"/>
        <w:rPr>
          <w:b/>
          <w:bCs/>
          <w:lang w:eastAsia="lt-LT"/>
        </w:rPr>
      </w:pPr>
      <w:r>
        <w:rPr>
          <w:noProof/>
          <w:lang w:eastAsia="ko-KR"/>
        </w:rPr>
        <w:drawing>
          <wp:inline distT="0" distB="0" distL="0" distR="0" wp14:anchorId="714E7CA2" wp14:editId="6B103801">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40516E" w:rsidRDefault="0040516E">
      <w:pPr>
        <w:rPr>
          <w:sz w:val="10"/>
          <w:szCs w:val="10"/>
        </w:rPr>
      </w:pPr>
    </w:p>
    <w:p w:rsidR="0040516E" w:rsidRDefault="00B647FE">
      <w:pPr>
        <w:suppressAutoHyphens/>
        <w:jc w:val="center"/>
        <w:rPr>
          <w:b/>
          <w:bCs/>
          <w:lang w:eastAsia="lt-LT"/>
        </w:rPr>
      </w:pPr>
      <w:r>
        <w:rPr>
          <w:b/>
          <w:bCs/>
          <w:lang w:eastAsia="lt-LT"/>
        </w:rPr>
        <w:t>LIETUVOS RESPUBLIKOS APLINKOS MINISTRAS</w:t>
      </w:r>
    </w:p>
    <w:p w:rsidR="0040516E" w:rsidRDefault="0040516E">
      <w:pPr>
        <w:rPr>
          <w:sz w:val="6"/>
          <w:szCs w:val="6"/>
        </w:rPr>
      </w:pPr>
    </w:p>
    <w:p w:rsidR="0040516E" w:rsidRDefault="0040516E">
      <w:pPr>
        <w:suppressAutoHyphens/>
        <w:jc w:val="center"/>
        <w:rPr>
          <w:b/>
          <w:bCs/>
          <w:lang w:eastAsia="lt-LT"/>
        </w:rPr>
      </w:pPr>
    </w:p>
    <w:p w:rsidR="0040516E" w:rsidRDefault="0040516E">
      <w:pPr>
        <w:rPr>
          <w:sz w:val="6"/>
          <w:szCs w:val="6"/>
        </w:rPr>
      </w:pPr>
    </w:p>
    <w:p w:rsidR="0040516E" w:rsidRDefault="00B647FE">
      <w:pPr>
        <w:suppressAutoHyphens/>
        <w:jc w:val="center"/>
        <w:rPr>
          <w:b/>
          <w:bCs/>
          <w:lang w:eastAsia="lt-LT"/>
        </w:rPr>
      </w:pPr>
      <w:r>
        <w:rPr>
          <w:b/>
          <w:bCs/>
          <w:lang w:eastAsia="lt-LT"/>
        </w:rPr>
        <w:t>ĮSAKYMAS</w:t>
      </w:r>
    </w:p>
    <w:p w:rsidR="0040516E" w:rsidRDefault="0040516E">
      <w:pPr>
        <w:rPr>
          <w:sz w:val="6"/>
          <w:szCs w:val="6"/>
        </w:rPr>
      </w:pPr>
    </w:p>
    <w:p w:rsidR="0040516E" w:rsidRDefault="00B647FE">
      <w:pPr>
        <w:suppressAutoHyphens/>
        <w:ind w:right="425"/>
        <w:jc w:val="center"/>
        <w:rPr>
          <w:b/>
          <w:lang w:eastAsia="lt-LT"/>
        </w:rPr>
      </w:pPr>
      <w:r>
        <w:rPr>
          <w:b/>
          <w:szCs w:val="24"/>
          <w:lang w:eastAsia="lt-LT"/>
        </w:rPr>
        <w:t xml:space="preserve">DĖL </w:t>
      </w:r>
      <w:r>
        <w:rPr>
          <w:b/>
          <w:bCs/>
          <w:lang w:eastAsia="lt-LT"/>
        </w:rPr>
        <w:t xml:space="preserve">DAUGIABUČIAMS NAMAMS ATNAUJINTI (MODERNIZUOTI) VALSTYBĖS PARAMOS TEIKIMO IR KVIETIMO TEIKTI PARAIŠKAS SĄLYGŲ APRAŠO </w:t>
      </w:r>
      <w:r>
        <w:rPr>
          <w:b/>
          <w:bCs/>
          <w:lang w:eastAsia="lt-LT"/>
        </w:rPr>
        <w:t>PATVIRTINIMO</w:t>
      </w:r>
    </w:p>
    <w:p w:rsidR="0040516E" w:rsidRDefault="0040516E">
      <w:pPr>
        <w:suppressAutoHyphens/>
        <w:jc w:val="center"/>
        <w:rPr>
          <w:b/>
          <w:lang w:eastAsia="lt-LT"/>
        </w:rPr>
      </w:pPr>
    </w:p>
    <w:p w:rsidR="0040516E" w:rsidRDefault="00713A4A">
      <w:pPr>
        <w:suppressAutoHyphens/>
        <w:jc w:val="center"/>
        <w:rPr>
          <w:lang w:eastAsia="lt-LT"/>
        </w:rPr>
      </w:pPr>
      <w:r>
        <w:rPr>
          <w:lang w:eastAsia="lt-LT"/>
        </w:rPr>
        <w:t>2022 m. gruodžio 1 d.</w:t>
      </w:r>
      <w:r w:rsidR="00B647FE">
        <w:rPr>
          <w:lang w:eastAsia="lt-LT"/>
        </w:rPr>
        <w:t xml:space="preserve"> Nr. </w:t>
      </w:r>
      <w:r>
        <w:rPr>
          <w:lang w:eastAsia="lt-LT"/>
        </w:rPr>
        <w:t>D1-375</w:t>
      </w:r>
    </w:p>
    <w:p w:rsidR="0040516E" w:rsidRDefault="00B647FE">
      <w:pPr>
        <w:suppressAutoHyphens/>
        <w:jc w:val="center"/>
        <w:rPr>
          <w:lang w:eastAsia="lt-LT"/>
        </w:rPr>
      </w:pPr>
      <w:r>
        <w:rPr>
          <w:lang w:eastAsia="lt-LT"/>
        </w:rPr>
        <w:t>Vilnius</w:t>
      </w:r>
      <w:r>
        <w:rPr>
          <w:lang w:eastAsia="lt-LT"/>
        </w:rPr>
        <w:br/>
      </w:r>
    </w:p>
    <w:p w:rsidR="0040516E" w:rsidRDefault="0040516E">
      <w:pPr>
        <w:suppressAutoHyphens/>
        <w:jc w:val="center"/>
        <w:rPr>
          <w:lang w:eastAsia="lt-LT"/>
        </w:rPr>
      </w:pPr>
    </w:p>
    <w:p w:rsidR="0040516E" w:rsidRDefault="00B647FE">
      <w:pPr>
        <w:widowControl w:val="0"/>
        <w:suppressAutoHyphens/>
        <w:ind w:firstLine="720"/>
        <w:jc w:val="both"/>
        <w:rPr>
          <w:color w:val="000000"/>
          <w:szCs w:val="24"/>
        </w:rPr>
      </w:pPr>
      <w:r>
        <w:rPr>
          <w:color w:val="000000"/>
          <w:szCs w:val="24"/>
        </w:rPr>
        <w:t>Įgyvendindamas Lietuvos Respublikos aplinkos ministro įsakymu patvirtintoje 2022–2030 metų plėtros programoje valdytojos Lietuvos Respublikos aplinkos ministerijos   aplinkos apsaugos ir klimato ka</w:t>
      </w:r>
      <w:r>
        <w:rPr>
          <w:color w:val="000000"/>
          <w:szCs w:val="24"/>
        </w:rPr>
        <w:t>itos valdymo plėtros programos pažangos priemonės  Nr. 02-001-06-04-01 „Skatinti pastatų renovaciją“ apraše, patvirtintame 2022 m. liepos 25 d. įsakymu Nr. D1-239 „Dėl 2022–2030 metų plėtros programoje valdytojos Lietuvos Respublikos aplinkos ministerijos </w:t>
      </w:r>
      <w:r>
        <w:rPr>
          <w:color w:val="000000"/>
          <w:szCs w:val="24"/>
        </w:rPr>
        <w:t>  aplinkos apsaugos ir klimato kaitos valdymo plėtros programos pažangos priemonės  Nr. 02-001-06-04-01 „Skatinti pastatų renovaciją“ aprašo patvirtinimo“, numatytas veiklas, vadovaudamasis Paraiškų atnaujinti (modernizuoti) daugiabutį namą teikimo, vertin</w:t>
      </w:r>
      <w:r>
        <w:rPr>
          <w:color w:val="000000"/>
          <w:szCs w:val="24"/>
        </w:rPr>
        <w:t>imo ir atrankos tvarkos aprašo, patvirtinto Lietuvos Respublikos aplinkos ministro 2015 m. balandžio 1 d. įsakymu Nr. D1-267 „Dėl Paraiškų atnaujinti (modernizuoti) daugiabutį namą teikimo, vertinimo ir atrankos tvarkos aprašo patvirtinimo“, 5 punktu:</w:t>
      </w:r>
    </w:p>
    <w:p w:rsidR="0040516E" w:rsidRDefault="00B647FE">
      <w:pPr>
        <w:widowControl w:val="0"/>
        <w:suppressAutoHyphens/>
        <w:ind w:firstLine="720"/>
        <w:jc w:val="both"/>
        <w:rPr>
          <w:color w:val="000000"/>
          <w:szCs w:val="24"/>
        </w:rPr>
      </w:pPr>
      <w:r>
        <w:rPr>
          <w:color w:val="000000"/>
          <w:szCs w:val="24"/>
        </w:rPr>
        <w:t>1</w:t>
      </w:r>
      <w:r>
        <w:rPr>
          <w:color w:val="000000"/>
          <w:szCs w:val="24"/>
        </w:rPr>
        <w:t xml:space="preserve">. </w:t>
      </w:r>
      <w:r>
        <w:rPr>
          <w:spacing w:val="60"/>
          <w:szCs w:val="24"/>
        </w:rPr>
        <w:t>Tvirtinu</w:t>
      </w:r>
      <w:r>
        <w:rPr>
          <w:color w:val="000000"/>
          <w:szCs w:val="24"/>
        </w:rPr>
        <w:t xml:space="preserve"> Daugiabučiams namams atnaujinti (modernizuoti) valstybės paramos teikimo ir kvietimo teikti paraiškas daugiabučiams namams atnaujinti (modernizuoti) sąlygų aprašą (pridedama).</w:t>
      </w:r>
    </w:p>
    <w:p w:rsidR="0040516E" w:rsidRDefault="00B647FE">
      <w:pPr>
        <w:widowControl w:val="0"/>
        <w:suppressAutoHyphens/>
        <w:ind w:firstLine="720"/>
        <w:jc w:val="both"/>
        <w:rPr>
          <w:color w:val="000000"/>
          <w:szCs w:val="24"/>
        </w:rPr>
      </w:pPr>
      <w:r>
        <w:rPr>
          <w:color w:val="000000"/>
          <w:szCs w:val="24"/>
        </w:rPr>
        <w:t>2</w:t>
      </w:r>
      <w:r>
        <w:rPr>
          <w:color w:val="000000"/>
          <w:szCs w:val="24"/>
        </w:rPr>
        <w:t xml:space="preserve">. </w:t>
      </w:r>
      <w:r>
        <w:rPr>
          <w:spacing w:val="60"/>
          <w:szCs w:val="24"/>
        </w:rPr>
        <w:t>Nustatau,</w:t>
      </w:r>
      <w:r>
        <w:rPr>
          <w:color w:val="000000"/>
          <w:szCs w:val="24"/>
        </w:rPr>
        <w:t xml:space="preserve"> kad:</w:t>
      </w:r>
    </w:p>
    <w:p w:rsidR="0040516E" w:rsidRDefault="00B647FE">
      <w:pPr>
        <w:widowControl w:val="0"/>
        <w:suppressAutoHyphens/>
        <w:ind w:firstLine="720"/>
        <w:jc w:val="both"/>
        <w:rPr>
          <w:color w:val="000000"/>
          <w:szCs w:val="24"/>
        </w:rPr>
      </w:pPr>
      <w:r>
        <w:rPr>
          <w:color w:val="000000"/>
          <w:szCs w:val="24"/>
        </w:rPr>
        <w:t>2.1</w:t>
      </w:r>
      <w:r>
        <w:rPr>
          <w:color w:val="000000"/>
          <w:szCs w:val="24"/>
        </w:rPr>
        <w:t xml:space="preserve">. valstybės parama teikiama butų ir kitų </w:t>
      </w:r>
      <w:r>
        <w:rPr>
          <w:color w:val="000000"/>
          <w:szCs w:val="24"/>
        </w:rPr>
        <w:t>patalpų savininkams, įgyvendinantiems daugiabučio namo atnaujinimo (modernizavimo) projektus, pagal Lietuvos Respublikos valstybės paramos daugiabučiams namams atnaujinti (modernizuoti) įstatymą, Daugiabučių namų atnaujinimo (modernizavimo) programą, patvi</w:t>
      </w:r>
      <w:r>
        <w:rPr>
          <w:color w:val="000000"/>
          <w:szCs w:val="24"/>
        </w:rPr>
        <w:t>rtintą Lietuvos Respublikos Vyriausybės 2004 m. rugsėjo 23 d. nutarimu Nr. 1213 „Dėl Daugiabučių namų atnaujinimo (modernizavimo) programos patvirtinimo“, ar ją atitinkančias savivaldybių programas, Valstybės paramos daugiabučiams namams atnaujinti (modern</w:t>
      </w:r>
      <w:r>
        <w:rPr>
          <w:color w:val="000000"/>
          <w:szCs w:val="24"/>
        </w:rPr>
        <w:t>izuoti) teikimo ir daugiabučių namų atnaujinimo (modernizavimo) projektų įgyvendinimo priežiūros taisykles, patvirtintas Lietuvos Respublikos Vyriausybės 2009 m. gruodžio 16 d. nutarimu Nr. 1725 „Dėl Valstybės paramos daugiabučiams namams atnaujinti (moder</w:t>
      </w:r>
      <w:r>
        <w:rPr>
          <w:color w:val="000000"/>
          <w:szCs w:val="24"/>
        </w:rPr>
        <w:t xml:space="preserve">nizuoti) teikimo ir daugiabučių namų atnaujinimo (modernizavimo) projektų įgyvendinimo priežiūros taisyklių patvirtinimo ir daugiabučio namo atnaujinimo (modernizavimo) projektui įgyvendinti skirto kaupiamojo įnašo ir (ar) kitų įmokų didžiausios mėnesinės </w:t>
      </w:r>
      <w:r>
        <w:rPr>
          <w:color w:val="000000"/>
          <w:szCs w:val="24"/>
        </w:rPr>
        <w:t>įmokos nustatymo“, Valstybės pagalbos, tenkančios ūkinę veiklą vykdančiam buto ar kitos patalpos savininkui, įgyvendinančiam daugiabučio namo atnaujinimo (modernizavimo) projektą, apskaičiavimo tvarkos aprašą, patvirtintą Lietuvos Respublikos Vyriausybės 2</w:t>
      </w:r>
      <w:r>
        <w:rPr>
          <w:color w:val="000000"/>
          <w:szCs w:val="24"/>
        </w:rPr>
        <w:t>019 m. rugsėjo 25 d. nutarimu Nr. 974 „Dėl Valstybės pagalbos, tenkančios ūkinę veiklą vykdančiam buto ar kitos patalpos savininkui, įgyvendinančiam daugiabučio namo atnaujinimo (modernizavimo) projektą, apskaičiavimo tvarkos aprašo patvirtinimo“, Lietuvos</w:t>
      </w:r>
      <w:r>
        <w:rPr>
          <w:color w:val="000000"/>
          <w:szCs w:val="24"/>
        </w:rPr>
        <w:t xml:space="preserve"> Respublikos aplinkos ministro įsakymu patvirtintoje  2022–2030 metų plėtros programoje valdytojos Lietuvos Respublikos aplinkos ministerijos   aplinkos apsaugos ir klimato kaitos valdymo plėtros programos pažangos priemonės  Nr.02-001-06-04-01 „Skatinti p</w:t>
      </w:r>
      <w:r>
        <w:rPr>
          <w:color w:val="000000"/>
          <w:szCs w:val="24"/>
        </w:rPr>
        <w:t xml:space="preserve">astatų renovaciją“ apraše, patvirtintiname 2022 m. liepos 25 d. įsakymu Nr. D1-239 „Dėl 2022 – 2030 metų plėtros programoje valdytojos Lietuvos Respublikos aplinkos ministerijos   aplinkos apsaugos ir klimato kaitos valdymo </w:t>
      </w:r>
      <w:r>
        <w:rPr>
          <w:color w:val="000000"/>
          <w:szCs w:val="24"/>
        </w:rPr>
        <w:lastRenderedPageBreak/>
        <w:t>plėtros programos pažangos priem</w:t>
      </w:r>
      <w:r>
        <w:rPr>
          <w:color w:val="000000"/>
          <w:szCs w:val="24"/>
        </w:rPr>
        <w:t>onės  Nr. 02-001-06-04-01 „Skatinti pastatų renovaciją“ aprašo patvirtinimo“, nustatytas veiklas, Paraiškų teikimo ir atrankos tvarkos aprašą, Daugiabučio namo atnaujinimo (modernizavimo) projekto (ar jo dalies) rengimo, projekto (ar jo dalies) ekspertizės</w:t>
      </w:r>
      <w:r>
        <w:rPr>
          <w:color w:val="000000"/>
          <w:szCs w:val="24"/>
        </w:rPr>
        <w:t xml:space="preserve"> atlikimo, statybos techninės priežiūros paslaugų ir statybos rangos darbų pirkimo tvarkos aprašą, patvirtintą Lietuvos Respublikos aplinkos ministro 2014 m. sausio 14 įsakymu Nr. D1-34 „Dėl daugiabučio namo atnaujinimo (modernizavimo) projekto (ar jo dali</w:t>
      </w:r>
      <w:r>
        <w:rPr>
          <w:color w:val="000000"/>
          <w:szCs w:val="24"/>
        </w:rPr>
        <w:t>es) rengimo, projekto (ar jo dalies) ekspertizės atlikimo, statybos techninės priežiūros paslaugų ir statybos rangos darbų pirkimo tvarkos aprašo patvirtinimo“, Daugiabučio namo atnaujinimo (modernizavimo) investicijų plano rengimo tvarkos aprašą, patvirti</w:t>
      </w:r>
      <w:r>
        <w:rPr>
          <w:color w:val="000000"/>
          <w:szCs w:val="24"/>
        </w:rPr>
        <w:t>ntą Lietuvos Respublikos aplinkos ministro 2009 m. lapkričio 10 d. įsakymu Nr. D1-677 „Dėl Daugiabučio namo atnaujinimo (modernizavimo) investicijų plano rengimo tvarkos aprašo patvirtinimo“;</w:t>
      </w:r>
    </w:p>
    <w:p w:rsidR="0040516E" w:rsidRDefault="00B647FE">
      <w:pPr>
        <w:widowControl w:val="0"/>
        <w:suppressAutoHyphens/>
        <w:ind w:firstLine="720"/>
        <w:jc w:val="both"/>
        <w:rPr>
          <w:color w:val="000000"/>
          <w:szCs w:val="24"/>
        </w:rPr>
      </w:pPr>
      <w:r>
        <w:rPr>
          <w:color w:val="000000"/>
          <w:szCs w:val="24"/>
        </w:rPr>
        <w:t>2.2</w:t>
      </w:r>
      <w:r>
        <w:rPr>
          <w:color w:val="000000"/>
          <w:szCs w:val="24"/>
        </w:rPr>
        <w:t>. daugiabučio namo atnaujinimo (modernizavimo) investicij</w:t>
      </w:r>
      <w:r>
        <w:rPr>
          <w:color w:val="000000"/>
          <w:szCs w:val="24"/>
        </w:rPr>
        <w:t xml:space="preserve">ų planai rengiami ir paraiškos priimamos </w:t>
      </w:r>
      <w:r>
        <w:rPr>
          <w:color w:val="000000"/>
          <w:szCs w:val="24"/>
          <w:lang w:eastAsia="lt-LT"/>
        </w:rPr>
        <w:t>Lietuvos Respublikos aplinkos ministerijos Aplinkos projektų valdymo informacinėje sistemoje (toliau – APVIS)</w:t>
      </w:r>
      <w:r>
        <w:rPr>
          <w:color w:val="000000"/>
          <w:szCs w:val="24"/>
        </w:rPr>
        <w:t xml:space="preserve"> nuo 2022 m. gruodžio 12 d.</w:t>
      </w:r>
    </w:p>
    <w:p w:rsidR="0040516E" w:rsidRDefault="00B647FE">
      <w:pPr>
        <w:widowControl w:val="0"/>
        <w:suppressAutoHyphens/>
        <w:ind w:firstLine="720"/>
        <w:jc w:val="both"/>
        <w:rPr>
          <w:color w:val="000000"/>
          <w:szCs w:val="24"/>
        </w:rPr>
      </w:pPr>
      <w:r>
        <w:rPr>
          <w:color w:val="000000"/>
          <w:szCs w:val="24"/>
        </w:rPr>
        <w:t>3</w:t>
      </w:r>
      <w:r>
        <w:rPr>
          <w:color w:val="000000"/>
          <w:szCs w:val="24"/>
        </w:rPr>
        <w:t xml:space="preserve">. </w:t>
      </w:r>
      <w:r>
        <w:rPr>
          <w:spacing w:val="60"/>
          <w:szCs w:val="24"/>
        </w:rPr>
        <w:t xml:space="preserve">Pavedu </w:t>
      </w:r>
      <w:r>
        <w:rPr>
          <w:color w:val="000000"/>
          <w:szCs w:val="24"/>
        </w:rPr>
        <w:t xml:space="preserve">Lietuvos Respublikos aplinkos ministerijos Aplinkos projektų </w:t>
      </w:r>
      <w:r>
        <w:rPr>
          <w:color w:val="000000"/>
          <w:szCs w:val="24"/>
        </w:rPr>
        <w:t>valdymo agentūrai kvietimą APVIS paskelbti ne vėliau kaip iki 2022 m. gruodžio 12 d. pagal šio įsakymo 1 punktu patvirtintą Daugiabučiams namams atnaujinti (modernizuoti) valstybės paramos teikimo ir kvietimo teikti paraiškas daugiabučiams namams atnaujint</w:t>
      </w:r>
      <w:r>
        <w:rPr>
          <w:color w:val="000000"/>
          <w:szCs w:val="24"/>
        </w:rPr>
        <w:t>i (modernizuoti) sąlygų aprašą.</w:t>
      </w:r>
    </w:p>
    <w:p w:rsidR="0040516E" w:rsidRDefault="0040516E">
      <w:pPr>
        <w:tabs>
          <w:tab w:val="left" w:pos="6946"/>
        </w:tabs>
        <w:rPr>
          <w:szCs w:val="24"/>
          <w:lang w:eastAsia="lt-LT"/>
        </w:rPr>
      </w:pPr>
    </w:p>
    <w:p w:rsidR="0040516E" w:rsidRDefault="0040516E">
      <w:pPr>
        <w:tabs>
          <w:tab w:val="left" w:pos="6946"/>
        </w:tabs>
        <w:rPr>
          <w:szCs w:val="24"/>
          <w:lang w:eastAsia="lt-LT"/>
        </w:rPr>
      </w:pPr>
    </w:p>
    <w:p w:rsidR="0040516E" w:rsidRDefault="00B647FE">
      <w:pPr>
        <w:tabs>
          <w:tab w:val="left" w:pos="6946"/>
        </w:tabs>
        <w:rPr>
          <w:szCs w:val="24"/>
          <w:lang w:eastAsia="lt-LT"/>
        </w:rPr>
      </w:pPr>
    </w:p>
    <w:p w:rsidR="0040516E" w:rsidRDefault="00B647FE">
      <w:pPr>
        <w:tabs>
          <w:tab w:val="left" w:pos="7371"/>
        </w:tabs>
        <w:rPr>
          <w:szCs w:val="24"/>
          <w:lang w:eastAsia="lt-LT"/>
        </w:rPr>
      </w:pPr>
      <w:r>
        <w:rPr>
          <w:szCs w:val="24"/>
          <w:lang w:eastAsia="lt-LT"/>
        </w:rPr>
        <w:t>Aplinkos ministras</w:t>
      </w:r>
      <w:r>
        <w:rPr>
          <w:szCs w:val="24"/>
          <w:lang w:eastAsia="lt-LT"/>
        </w:rPr>
        <w:tab/>
        <w:t>Simonas Gentvilas</w:t>
      </w:r>
    </w:p>
    <w:p w:rsidR="0040516E" w:rsidRDefault="00B647FE">
      <w:pPr>
        <w:rPr>
          <w:szCs w:val="24"/>
          <w:lang w:eastAsia="lt-LT"/>
        </w:rPr>
      </w:pPr>
    </w:p>
    <w:p w:rsidR="00B647FE" w:rsidRDefault="00B647FE">
      <w:pPr>
        <w:tabs>
          <w:tab w:val="left" w:leader="underscore" w:pos="8641"/>
        </w:tabs>
        <w:ind w:firstLine="5387"/>
        <w:sectPr w:rsidR="00B647FE">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134" w:right="567" w:bottom="1134" w:left="1701" w:header="567" w:footer="567" w:gutter="0"/>
          <w:pgNumType w:start="1"/>
          <w:cols w:space="1296"/>
          <w:formProt w:val="0"/>
          <w:titlePg/>
          <w:docGrid w:linePitch="360"/>
        </w:sectPr>
      </w:pPr>
    </w:p>
    <w:p w:rsidR="0040516E" w:rsidRDefault="00B647FE">
      <w:pPr>
        <w:tabs>
          <w:tab w:val="left" w:leader="underscore" w:pos="8641"/>
        </w:tabs>
        <w:ind w:firstLine="5387"/>
      </w:pPr>
      <w:r>
        <w:t xml:space="preserve">PATVIRTINTA </w:t>
      </w:r>
    </w:p>
    <w:p w:rsidR="0040516E" w:rsidRDefault="00B647FE">
      <w:pPr>
        <w:ind w:firstLine="5387"/>
      </w:pPr>
      <w:r>
        <w:t>Lietuvos Respublikos aplinkos ministro</w:t>
      </w:r>
    </w:p>
    <w:p w:rsidR="0040516E" w:rsidRDefault="00B647FE">
      <w:pPr>
        <w:ind w:firstLine="5387"/>
      </w:pPr>
      <w:r>
        <w:t>2022 m. gruodžio 1</w:t>
      </w:r>
      <w:r>
        <w:t xml:space="preserve">  d. įsakymu Nr. D1-375</w:t>
      </w:r>
      <w:bookmarkStart w:id="0" w:name="_GoBack"/>
      <w:bookmarkEnd w:id="0"/>
    </w:p>
    <w:p w:rsidR="0040516E" w:rsidRDefault="0040516E">
      <w:pPr>
        <w:jc w:val="center"/>
        <w:rPr>
          <w:b/>
        </w:rPr>
      </w:pPr>
    </w:p>
    <w:p w:rsidR="0040516E" w:rsidRDefault="0040516E">
      <w:pPr>
        <w:jc w:val="center"/>
        <w:rPr>
          <w:b/>
        </w:rPr>
      </w:pPr>
    </w:p>
    <w:p w:rsidR="0040516E" w:rsidRDefault="00B647FE">
      <w:pPr>
        <w:jc w:val="center"/>
        <w:rPr>
          <w:b/>
          <w:szCs w:val="24"/>
        </w:rPr>
      </w:pPr>
      <w:r>
        <w:rPr>
          <w:b/>
          <w:bCs/>
        </w:rPr>
        <w:t xml:space="preserve">DAUGIABUČIAMS NAMAMS ATNAUJINTI </w:t>
      </w:r>
      <w:r>
        <w:rPr>
          <w:b/>
          <w:bCs/>
        </w:rPr>
        <w:t>(MODERNIZUOTI) VALSTYBĖS PARAMOS TEIKIMO IR KVIETIMO TEIKTI PARAIŠKAS DAUGIABUČIAMS NAMAMS ATNAUJINTI (MODERNIZUOTI) SĄLYGŲ APRAŠAS</w:t>
      </w:r>
    </w:p>
    <w:p w:rsidR="0040516E" w:rsidRDefault="0040516E">
      <w:pPr>
        <w:rPr>
          <w:sz w:val="16"/>
          <w:szCs w:val="16"/>
        </w:rPr>
      </w:pPr>
    </w:p>
    <w:p w:rsidR="0040516E" w:rsidRDefault="0040516E">
      <w:pPr>
        <w:rPr>
          <w:sz w:val="16"/>
          <w:szCs w:val="16"/>
        </w:rPr>
      </w:pPr>
    </w:p>
    <w:tbl>
      <w:tblPr>
        <w:tblW w:w="9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700" w:firstRow="0" w:lastRow="0" w:firstColumn="0" w:lastColumn="1" w:noHBand="1" w:noVBand="1"/>
      </w:tblPr>
      <w:tblGrid>
        <w:gridCol w:w="704"/>
        <w:gridCol w:w="1711"/>
        <w:gridCol w:w="2967"/>
        <w:gridCol w:w="709"/>
        <w:gridCol w:w="1857"/>
        <w:gridCol w:w="1677"/>
        <w:gridCol w:w="12"/>
      </w:tblGrid>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1.</w:t>
            </w:r>
          </w:p>
        </w:tc>
        <w:tc>
          <w:tcPr>
            <w:tcW w:w="1711" w:type="dxa"/>
            <w:vAlign w:val="center"/>
          </w:tcPr>
          <w:p w:rsidR="0040516E" w:rsidRDefault="00B647FE">
            <w:pPr>
              <w:tabs>
                <w:tab w:val="left" w:pos="851"/>
                <w:tab w:val="left" w:pos="993"/>
                <w:tab w:val="left" w:pos="1276"/>
              </w:tabs>
              <w:jc w:val="center"/>
              <w:rPr>
                <w:b/>
                <w:szCs w:val="24"/>
              </w:rPr>
            </w:pPr>
            <w:r>
              <w:rPr>
                <w:b/>
                <w:szCs w:val="24"/>
              </w:rPr>
              <w:t>Paramos gavėjai</w:t>
            </w:r>
          </w:p>
        </w:tc>
        <w:tc>
          <w:tcPr>
            <w:tcW w:w="7210" w:type="dxa"/>
            <w:gridSpan w:val="4"/>
          </w:tcPr>
          <w:p w:rsidR="0040516E" w:rsidRDefault="00B647FE">
            <w:pPr>
              <w:tabs>
                <w:tab w:val="left" w:pos="851"/>
                <w:tab w:val="left" w:pos="993"/>
                <w:tab w:val="left" w:pos="1276"/>
              </w:tabs>
              <w:jc w:val="both"/>
              <w:rPr>
                <w:szCs w:val="24"/>
              </w:rPr>
            </w:pPr>
            <w:r>
              <w:rPr>
                <w:szCs w:val="24"/>
              </w:rPr>
              <w:t>Daugiabučių namų, pastatytų pagal galiojusius iki 1993 metų statybos techninius normatyvus, butų ir k</w:t>
            </w:r>
            <w:r>
              <w:rPr>
                <w:szCs w:val="24"/>
              </w:rPr>
              <w:t>itų patalpų savininkai.</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2.</w:t>
            </w:r>
          </w:p>
        </w:tc>
        <w:tc>
          <w:tcPr>
            <w:tcW w:w="1711" w:type="dxa"/>
            <w:vAlign w:val="center"/>
          </w:tcPr>
          <w:p w:rsidR="0040516E" w:rsidRDefault="00B647FE">
            <w:pPr>
              <w:tabs>
                <w:tab w:val="left" w:pos="851"/>
                <w:tab w:val="left" w:pos="993"/>
                <w:tab w:val="left" w:pos="1276"/>
              </w:tabs>
              <w:jc w:val="center"/>
              <w:rPr>
                <w:b/>
                <w:szCs w:val="24"/>
              </w:rPr>
            </w:pPr>
            <w:r>
              <w:rPr>
                <w:b/>
                <w:szCs w:val="24"/>
              </w:rPr>
              <w:t>Paraiškų teikėjai</w:t>
            </w:r>
          </w:p>
        </w:tc>
        <w:tc>
          <w:tcPr>
            <w:tcW w:w="7210" w:type="dxa"/>
            <w:gridSpan w:val="4"/>
          </w:tcPr>
          <w:p w:rsidR="0040516E" w:rsidRDefault="00B647FE">
            <w:pPr>
              <w:tabs>
                <w:tab w:val="left" w:pos="851"/>
                <w:tab w:val="left" w:pos="993"/>
                <w:tab w:val="left" w:pos="1276"/>
              </w:tabs>
              <w:jc w:val="both"/>
              <w:rPr>
                <w:szCs w:val="24"/>
              </w:rPr>
            </w:pPr>
            <w:r>
              <w:rPr>
                <w:szCs w:val="24"/>
              </w:rPr>
              <w:t>1. Daugiabučio namo bendrojo naudojimo objektų valdytojas.</w:t>
            </w:r>
          </w:p>
          <w:p w:rsidR="0040516E" w:rsidRDefault="00B647FE">
            <w:pPr>
              <w:tabs>
                <w:tab w:val="left" w:pos="851"/>
                <w:tab w:val="left" w:pos="993"/>
                <w:tab w:val="left" w:pos="1276"/>
              </w:tabs>
              <w:jc w:val="both"/>
              <w:rPr>
                <w:szCs w:val="24"/>
              </w:rPr>
            </w:pPr>
            <w:r>
              <w:rPr>
                <w:szCs w:val="24"/>
              </w:rPr>
              <w:t>2. Asmuo, teikiantis daugiabučio namo atnaujinimo (modernizavimo) projekto (toliau – Projekto) įgyvendinimo administravimo paslaugas.</w:t>
            </w:r>
          </w:p>
          <w:p w:rsidR="0040516E" w:rsidRDefault="00B647FE">
            <w:pPr>
              <w:tabs>
                <w:tab w:val="left" w:pos="851"/>
                <w:tab w:val="left" w:pos="993"/>
                <w:tab w:val="left" w:pos="1276"/>
              </w:tabs>
              <w:jc w:val="both"/>
              <w:rPr>
                <w:szCs w:val="24"/>
              </w:rPr>
            </w:pPr>
            <w:r>
              <w:rPr>
                <w:szCs w:val="24"/>
              </w:rPr>
              <w:t xml:space="preserve">3. Savivaldybės </w:t>
            </w:r>
            <w:r>
              <w:rPr>
                <w:szCs w:val="24"/>
              </w:rPr>
              <w:t>vykdomoji institucija.</w:t>
            </w:r>
          </w:p>
          <w:p w:rsidR="0040516E" w:rsidRDefault="00B647FE">
            <w:pPr>
              <w:tabs>
                <w:tab w:val="left" w:pos="851"/>
                <w:tab w:val="left" w:pos="993"/>
                <w:tab w:val="left" w:pos="1276"/>
              </w:tabs>
              <w:jc w:val="both"/>
              <w:rPr>
                <w:szCs w:val="24"/>
              </w:rPr>
            </w:pPr>
            <w:r>
              <w:rPr>
                <w:szCs w:val="24"/>
              </w:rPr>
              <w:t>4. Savivaldybės paskirtas savivaldybės energinio efektyvumo didinimo programos įgyvendinimo administratorius.</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3.</w:t>
            </w:r>
          </w:p>
        </w:tc>
        <w:tc>
          <w:tcPr>
            <w:tcW w:w="1711" w:type="dxa"/>
            <w:vAlign w:val="center"/>
          </w:tcPr>
          <w:p w:rsidR="0040516E" w:rsidRDefault="00B647FE">
            <w:pPr>
              <w:tabs>
                <w:tab w:val="left" w:pos="851"/>
                <w:tab w:val="left" w:pos="993"/>
                <w:tab w:val="left" w:pos="1276"/>
              </w:tabs>
              <w:jc w:val="center"/>
              <w:rPr>
                <w:b/>
                <w:szCs w:val="24"/>
              </w:rPr>
            </w:pPr>
            <w:r>
              <w:rPr>
                <w:b/>
                <w:szCs w:val="24"/>
              </w:rPr>
              <w:t>Paraiška</w:t>
            </w:r>
          </w:p>
        </w:tc>
        <w:tc>
          <w:tcPr>
            <w:tcW w:w="7210" w:type="dxa"/>
            <w:gridSpan w:val="4"/>
          </w:tcPr>
          <w:p w:rsidR="0040516E" w:rsidRDefault="00B647FE">
            <w:pPr>
              <w:tabs>
                <w:tab w:val="left" w:pos="851"/>
                <w:tab w:val="left" w:pos="993"/>
                <w:tab w:val="left" w:pos="1276"/>
              </w:tabs>
              <w:jc w:val="both"/>
              <w:rPr>
                <w:szCs w:val="24"/>
              </w:rPr>
            </w:pPr>
            <w:r>
              <w:rPr>
                <w:szCs w:val="24"/>
              </w:rPr>
              <w:t>1. Lietuvos Respublikos Aplinkos ministerijos Aplinkos projektų valdymo agentūros (toliau – Agentūra) Aplinkos</w:t>
            </w:r>
            <w:r>
              <w:rPr>
                <w:szCs w:val="24"/>
              </w:rPr>
              <w:t xml:space="preserve"> projektų valdymo informacinėje sistemoje (toliau – APVIS) suformuota paraiškos forma.</w:t>
            </w:r>
          </w:p>
          <w:p w:rsidR="0040516E" w:rsidRDefault="00B647FE">
            <w:pPr>
              <w:tabs>
                <w:tab w:val="left" w:pos="851"/>
                <w:tab w:val="left" w:pos="993"/>
                <w:tab w:val="left" w:pos="1276"/>
              </w:tabs>
              <w:jc w:val="both"/>
              <w:rPr>
                <w:szCs w:val="24"/>
              </w:rPr>
            </w:pPr>
            <w:r>
              <w:rPr>
                <w:szCs w:val="24"/>
              </w:rPr>
              <w:t>2. Daugiabučio namo atnaujinimo (modernizavimo) investicijų planas (toliau – investicijų planas) kartu su pridedamais dokumentais, parengtas APVIS pagal teikiant paraišk</w:t>
            </w:r>
            <w:r>
              <w:rPr>
                <w:szCs w:val="24"/>
              </w:rPr>
              <w:t>ą galiojančią Daugiabučio namo atnaujinimo (modernizavimo) investicijų plano rengimo tvarkos aprašo, patvirtinto Lietuvos Respublikos aplinkos ministro 2009 m. lapkričio 10 d. įsakymu Nr. D1-677 „Dėl Daugiabučio namo atnaujinimo (modernizavimo) investicijų</w:t>
            </w:r>
            <w:r>
              <w:rPr>
                <w:szCs w:val="24"/>
              </w:rPr>
              <w:t xml:space="preserve"> plano rengimo tvarkos aprašo patvirtinimo“, suvestinę redakciją.</w:t>
            </w:r>
          </w:p>
          <w:p w:rsidR="0040516E" w:rsidRDefault="00B647FE">
            <w:pPr>
              <w:tabs>
                <w:tab w:val="left" w:pos="851"/>
                <w:tab w:val="left" w:pos="993"/>
                <w:tab w:val="left" w:pos="1276"/>
              </w:tabs>
              <w:jc w:val="both"/>
              <w:rPr>
                <w:szCs w:val="24"/>
              </w:rPr>
            </w:pPr>
            <w:r>
              <w:rPr>
                <w:szCs w:val="24"/>
              </w:rPr>
              <w:t>3. Daugiabučio namo butų ir kitų patalpų savininkų susirinkimo protokolas, kurio forma patvirtinta Lietuvos Respublikos aplinkos ministro 2013 m. liepos 3 d. įsakymu Nr. D1-495 „Dėl Pavyzdin</w:t>
            </w:r>
            <w:r>
              <w:rPr>
                <w:szCs w:val="24"/>
              </w:rPr>
              <w:t>ės butų ir kitų patalpų savininkų sprendimo dėl daugiabučio namo atnaujinimo (modernizavimo) protokolo formos ir pavyzdinės pavedimo organizuoti daugiabučio namo atnaujinimo (modernizavimo) projekto parengimą ir (ar) įgyvendinimą, ir (ar) finansavimą sutar</w:t>
            </w:r>
            <w:r>
              <w:rPr>
                <w:szCs w:val="24"/>
              </w:rPr>
              <w:t>ties formos patvirtinimo“, kuriuo daugiabučio namo butų ir kitų patalpų savininkai pritaria daugiabučio namo atnaujinimui (modernizavimui), patvirtina daugiabučio namo atnaujinimo (modernizavimo) investicijų planą ir paveda projekto įgyvendinimo administra</w:t>
            </w:r>
            <w:r>
              <w:rPr>
                <w:szCs w:val="24"/>
              </w:rPr>
              <w:t>toriui kreiptis į finansuotoją dėl lengvatinio kredito sutarties sudarymo (lengvatinio kredito sutartį su finansuotoju butų ir kitų patalpų savininkų vardu arba savo, veikiant daugiabučio namo butų ir kitų patalpų savininkų naudai, vardu sudaro bendrojo na</w:t>
            </w:r>
            <w:r>
              <w:rPr>
                <w:szCs w:val="24"/>
              </w:rPr>
              <w:t>udojimo objektų valdytojas arba savivaldybės programos įgyvendinimo administratorius).</w:t>
            </w:r>
          </w:p>
          <w:p w:rsidR="0040516E" w:rsidRDefault="00B647FE">
            <w:pPr>
              <w:tabs>
                <w:tab w:val="left" w:pos="851"/>
                <w:tab w:val="left" w:pos="993"/>
                <w:tab w:val="left" w:pos="1276"/>
              </w:tabs>
              <w:jc w:val="both"/>
              <w:rPr>
                <w:szCs w:val="24"/>
              </w:rPr>
            </w:pPr>
            <w:r>
              <w:rPr>
                <w:szCs w:val="24"/>
              </w:rPr>
              <w:t>4. Pavedimo sutartis, jeigu butų ir kitų patalpų savininkų sprendimu administruoti projekto įgyvendinimą pavedama savivaldybės programos įgyvendinimo administratoriui ar</w:t>
            </w:r>
            <w:r>
              <w:rPr>
                <w:szCs w:val="24"/>
              </w:rPr>
              <w:t>ba kitam asmeniui, teikiančiam projekto įgyvendinimo administravimo paslaugas.</w:t>
            </w:r>
          </w:p>
          <w:p w:rsidR="0040516E" w:rsidRDefault="00B647FE">
            <w:pPr>
              <w:tabs>
                <w:tab w:val="left" w:pos="851"/>
                <w:tab w:val="left" w:pos="993"/>
                <w:tab w:val="left" w:pos="1276"/>
              </w:tabs>
              <w:jc w:val="both"/>
              <w:rPr>
                <w:szCs w:val="24"/>
              </w:rPr>
            </w:pPr>
            <w:r>
              <w:rPr>
                <w:szCs w:val="24"/>
              </w:rPr>
              <w:t xml:space="preserve">5. Daugiabučio namo butų ir kitų patalpų savininkų sprendimo dėl lėšų skolinimosi daugiabučio namo atnaujinimo (modernizavimo) projektui įgyvendinti ir finansuotojo pasirinkimo </w:t>
            </w:r>
            <w:r>
              <w:rPr>
                <w:szCs w:val="24"/>
              </w:rPr>
              <w:t xml:space="preserve">protokolas, kurio formą nustato lengvatinius kreditus daugiabučių namų atnaujinimo (modernizavimo) projektams finansuoti teikianti finansų įstaiga. </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4.</w:t>
            </w:r>
          </w:p>
        </w:tc>
        <w:tc>
          <w:tcPr>
            <w:tcW w:w="1711" w:type="dxa"/>
            <w:vAlign w:val="center"/>
          </w:tcPr>
          <w:p w:rsidR="0040516E" w:rsidRDefault="00B647FE">
            <w:pPr>
              <w:tabs>
                <w:tab w:val="left" w:pos="851"/>
                <w:tab w:val="left" w:pos="993"/>
                <w:tab w:val="left" w:pos="1276"/>
              </w:tabs>
              <w:jc w:val="center"/>
              <w:rPr>
                <w:b/>
                <w:bCs/>
                <w:szCs w:val="24"/>
              </w:rPr>
            </w:pPr>
            <w:r>
              <w:rPr>
                <w:b/>
                <w:bCs/>
                <w:szCs w:val="24"/>
              </w:rPr>
              <w:t>Kvietimo lėšų suma</w:t>
            </w:r>
          </w:p>
        </w:tc>
        <w:tc>
          <w:tcPr>
            <w:tcW w:w="5533" w:type="dxa"/>
            <w:gridSpan w:val="3"/>
            <w:tcBorders>
              <w:right w:val="single" w:sz="4" w:space="0" w:color="auto"/>
            </w:tcBorders>
            <w:shd w:val="clear" w:color="auto" w:fill="auto"/>
            <w:vAlign w:val="center"/>
          </w:tcPr>
          <w:p w:rsidR="0040516E" w:rsidRDefault="00B647FE">
            <w:pPr>
              <w:tabs>
                <w:tab w:val="left" w:pos="851"/>
                <w:tab w:val="left" w:pos="993"/>
                <w:tab w:val="left" w:pos="1276"/>
              </w:tabs>
              <w:jc w:val="both"/>
              <w:rPr>
                <w:szCs w:val="24"/>
              </w:rPr>
            </w:pPr>
            <w:r>
              <w:t xml:space="preserve">Statybos rangos darbų </w:t>
            </w:r>
            <w:r>
              <w:rPr>
                <w:color w:val="000000"/>
              </w:rPr>
              <w:t>pastato energinį efektyvumą didinančioms ir kitoms pastato atn</w:t>
            </w:r>
            <w:r>
              <w:rPr>
                <w:color w:val="000000"/>
              </w:rPr>
              <w:t>aujinimo (modernizavimo) priemonėms įgyvendinti</w:t>
            </w:r>
            <w:r>
              <w:t xml:space="preserve"> suma, numatyta investicijų planuose.</w:t>
            </w:r>
          </w:p>
        </w:tc>
        <w:tc>
          <w:tcPr>
            <w:tcW w:w="1677" w:type="dxa"/>
            <w:tcBorders>
              <w:left w:val="single" w:sz="4" w:space="0" w:color="auto"/>
            </w:tcBorders>
            <w:shd w:val="clear" w:color="auto" w:fill="auto"/>
            <w:vAlign w:val="center"/>
          </w:tcPr>
          <w:p w:rsidR="0040516E" w:rsidRDefault="00B647FE">
            <w:pPr>
              <w:tabs>
                <w:tab w:val="left" w:pos="851"/>
                <w:tab w:val="left" w:pos="993"/>
                <w:tab w:val="left" w:pos="1276"/>
              </w:tabs>
              <w:jc w:val="center"/>
              <w:rPr>
                <w:szCs w:val="24"/>
              </w:rPr>
            </w:pPr>
            <w:r>
              <w:rPr>
                <w:szCs w:val="24"/>
              </w:rPr>
              <w:t>100 mln. eurų</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5.</w:t>
            </w:r>
          </w:p>
        </w:tc>
        <w:tc>
          <w:tcPr>
            <w:tcW w:w="1711" w:type="dxa"/>
            <w:vAlign w:val="center"/>
          </w:tcPr>
          <w:p w:rsidR="0040516E" w:rsidRDefault="00B647FE">
            <w:pPr>
              <w:tabs>
                <w:tab w:val="left" w:pos="851"/>
                <w:tab w:val="left" w:pos="993"/>
                <w:tab w:val="left" w:pos="1276"/>
              </w:tabs>
              <w:jc w:val="center"/>
              <w:rPr>
                <w:b/>
                <w:szCs w:val="24"/>
              </w:rPr>
            </w:pPr>
            <w:r>
              <w:rPr>
                <w:b/>
                <w:bCs/>
              </w:rPr>
              <w:t>Finansuotojas</w:t>
            </w:r>
          </w:p>
        </w:tc>
        <w:tc>
          <w:tcPr>
            <w:tcW w:w="7210" w:type="dxa"/>
            <w:gridSpan w:val="4"/>
          </w:tcPr>
          <w:p w:rsidR="0040516E" w:rsidRDefault="00B647FE">
            <w:pPr>
              <w:tabs>
                <w:tab w:val="left" w:pos="851"/>
                <w:tab w:val="left" w:pos="993"/>
                <w:tab w:val="left" w:pos="1276"/>
              </w:tabs>
              <w:jc w:val="both"/>
              <w:rPr>
                <w:szCs w:val="24"/>
              </w:rPr>
            </w:pPr>
            <w:r>
              <w:rPr>
                <w:szCs w:val="24"/>
              </w:rPr>
              <w:t>Lengvatinius kreditus teikia finansų įstaiga, kuriai pavesta teikti finansavimą daugiabučių namų atnaujinimo (modernizavimo) projektams pagal 2018-10-17 Lietuvos Respublikos Vyriausybės  nutarimą Nr. 1046 „Dėl pavedimo</w:t>
            </w:r>
            <w:r>
              <w:rPr>
                <w:lang w:eastAsia="lt-LT"/>
              </w:rPr>
              <w:t xml:space="preserve"> </w:t>
            </w:r>
            <w:r>
              <w:rPr>
                <w:szCs w:val="24"/>
              </w:rPr>
              <w:t>vykdyti nacionalinės plėtros įstaigos</w:t>
            </w:r>
            <w:r>
              <w:rPr>
                <w:szCs w:val="24"/>
              </w:rPr>
              <w:t xml:space="preserve"> veiklą“ ir (ar) jos paskirtai įstaigai.</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6.</w:t>
            </w:r>
          </w:p>
        </w:tc>
        <w:tc>
          <w:tcPr>
            <w:tcW w:w="1711" w:type="dxa"/>
          </w:tcPr>
          <w:p w:rsidR="0040516E" w:rsidRDefault="00B647FE">
            <w:pPr>
              <w:tabs>
                <w:tab w:val="left" w:pos="851"/>
                <w:tab w:val="left" w:pos="993"/>
                <w:tab w:val="left" w:pos="1276"/>
              </w:tabs>
              <w:jc w:val="center"/>
              <w:rPr>
                <w:b/>
                <w:szCs w:val="24"/>
              </w:rPr>
            </w:pPr>
            <w:r>
              <w:rPr>
                <w:b/>
                <w:szCs w:val="24"/>
              </w:rPr>
              <w:t>Tinkamos finansuoti išlaidos</w:t>
            </w:r>
          </w:p>
        </w:tc>
        <w:tc>
          <w:tcPr>
            <w:tcW w:w="7210" w:type="dxa"/>
            <w:gridSpan w:val="4"/>
          </w:tcPr>
          <w:p w:rsidR="0040516E" w:rsidRDefault="00B647FE">
            <w:pPr>
              <w:tabs>
                <w:tab w:val="left" w:pos="851"/>
                <w:tab w:val="left" w:pos="993"/>
                <w:tab w:val="left" w:pos="1276"/>
              </w:tabs>
              <w:jc w:val="both"/>
              <w:rPr>
                <w:szCs w:val="24"/>
              </w:rPr>
            </w:pPr>
            <w:r>
              <w:rPr>
                <w:szCs w:val="24"/>
              </w:rPr>
              <w:t xml:space="preserve">Daugiabučių namų atnaujinimo (modernizavimo) programos, patvirtintos Lietuvos Respublikos Vyriausybės 2004 m. rugsėjo 23 d. nutarimu Nr. 1213 „Dėl Daugiabučių namų atnaujinimo </w:t>
            </w:r>
            <w:r>
              <w:rPr>
                <w:szCs w:val="24"/>
              </w:rPr>
              <w:t>(modernizavimo) programos patvirtinimo“, (toliau – Programa) priede nurodytos valstybės remiamos daugiabučio namo atnaujinimo (modernizavimo) priemonės.</w:t>
            </w:r>
          </w:p>
        </w:tc>
      </w:tr>
      <w:tr w:rsidR="0040516E">
        <w:trPr>
          <w:gridAfter w:val="1"/>
          <w:wAfter w:w="12" w:type="dxa"/>
        </w:trPr>
        <w:tc>
          <w:tcPr>
            <w:tcW w:w="704" w:type="dxa"/>
            <w:vMerge w:val="restart"/>
            <w:vAlign w:val="center"/>
          </w:tcPr>
          <w:p w:rsidR="0040516E" w:rsidRDefault="00B647FE">
            <w:pPr>
              <w:tabs>
                <w:tab w:val="left" w:pos="851"/>
                <w:tab w:val="left" w:pos="993"/>
                <w:tab w:val="left" w:pos="1276"/>
              </w:tabs>
              <w:jc w:val="center"/>
              <w:rPr>
                <w:b/>
                <w:szCs w:val="24"/>
              </w:rPr>
            </w:pPr>
            <w:r>
              <w:rPr>
                <w:b/>
                <w:szCs w:val="24"/>
              </w:rPr>
              <w:t>7.</w:t>
            </w:r>
          </w:p>
        </w:tc>
        <w:tc>
          <w:tcPr>
            <w:tcW w:w="1711" w:type="dxa"/>
            <w:vMerge w:val="restart"/>
            <w:vAlign w:val="center"/>
          </w:tcPr>
          <w:p w:rsidR="0040516E" w:rsidRDefault="00B647FE">
            <w:pPr>
              <w:tabs>
                <w:tab w:val="left" w:pos="851"/>
                <w:tab w:val="left" w:pos="993"/>
                <w:tab w:val="left" w:pos="1276"/>
              </w:tabs>
              <w:jc w:val="center"/>
              <w:rPr>
                <w:b/>
                <w:szCs w:val="24"/>
              </w:rPr>
            </w:pPr>
            <w:r>
              <w:rPr>
                <w:b/>
                <w:szCs w:val="24"/>
              </w:rPr>
              <w:t>Minimalūs reikalavimai projektams</w:t>
            </w:r>
          </w:p>
        </w:tc>
        <w:tc>
          <w:tcPr>
            <w:tcW w:w="7210" w:type="dxa"/>
            <w:gridSpan w:val="4"/>
          </w:tcPr>
          <w:p w:rsidR="0040516E" w:rsidRDefault="00B647FE">
            <w:pPr>
              <w:tabs>
                <w:tab w:val="left" w:pos="851"/>
                <w:tab w:val="left" w:pos="993"/>
                <w:tab w:val="left" w:pos="1276"/>
              </w:tabs>
              <w:jc w:val="both"/>
              <w:rPr>
                <w:szCs w:val="24"/>
              </w:rPr>
            </w:pPr>
            <w:r>
              <w:rPr>
                <w:szCs w:val="24"/>
              </w:rPr>
              <w:t xml:space="preserve">Daugiabučiams namams, kuriems nustatomi minimalūs privalomi pastatų energinio naudingumo reikalavimai: </w:t>
            </w:r>
            <w:r>
              <w:rPr>
                <w:i/>
                <w:szCs w:val="24"/>
              </w:rPr>
              <w:t>ne mažesnė kaip C pastato energinio naudingumo klasė ir skaičiuojamųjų šiluminės energijos sąnaudų sumažinimas ne mažiau kaip 40 procentų, palyginti su š</w:t>
            </w:r>
            <w:r>
              <w:rPr>
                <w:i/>
                <w:szCs w:val="24"/>
              </w:rPr>
              <w:t>iomis sąnaudomis iki atnaujinimo projekto įgyvendinimo</w:t>
            </w:r>
            <w:r>
              <w:rPr>
                <w:szCs w:val="24"/>
              </w:rPr>
              <w:t>.</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7210" w:type="dxa"/>
            <w:gridSpan w:val="4"/>
          </w:tcPr>
          <w:p w:rsidR="0040516E" w:rsidRDefault="00B647FE">
            <w:pPr>
              <w:tabs>
                <w:tab w:val="left" w:pos="851"/>
                <w:tab w:val="left" w:pos="993"/>
                <w:tab w:val="left" w:pos="1276"/>
              </w:tabs>
              <w:jc w:val="both"/>
              <w:rPr>
                <w:szCs w:val="24"/>
              </w:rPr>
            </w:pPr>
            <w:r>
              <w:rPr>
                <w:szCs w:val="24"/>
              </w:rPr>
              <w:t xml:space="preserve">Daugiabučiams namams, kuriems nenustatomi minimalūs privalomi pastatų energinio naudingumo reikalavimai: </w:t>
            </w:r>
            <w:r>
              <w:rPr>
                <w:i/>
                <w:szCs w:val="24"/>
              </w:rPr>
              <w:t>skaičiuojamųjų šiluminės energijos sąnaudų sumažinimas ne mažiau kaip 25 procentais, palygin</w:t>
            </w:r>
            <w:r>
              <w:rPr>
                <w:i/>
                <w:szCs w:val="24"/>
              </w:rPr>
              <w:t>ti su šiomis sąnaudomis iki atnaujinimo projekto įgyvendinimo</w:t>
            </w:r>
            <w:r>
              <w:rPr>
                <w:szCs w:val="24"/>
              </w:rPr>
              <w:t>.</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8.</w:t>
            </w:r>
          </w:p>
        </w:tc>
        <w:tc>
          <w:tcPr>
            <w:tcW w:w="1711" w:type="dxa"/>
            <w:vAlign w:val="center"/>
          </w:tcPr>
          <w:p w:rsidR="0040516E" w:rsidRDefault="00B647FE">
            <w:pPr>
              <w:tabs>
                <w:tab w:val="left" w:pos="851"/>
                <w:tab w:val="left" w:pos="993"/>
                <w:tab w:val="left" w:pos="1276"/>
              </w:tabs>
              <w:jc w:val="center"/>
              <w:rPr>
                <w:b/>
                <w:szCs w:val="24"/>
              </w:rPr>
            </w:pPr>
            <w:r>
              <w:rPr>
                <w:b/>
                <w:szCs w:val="24"/>
              </w:rPr>
              <w:t>Specialieji reikalavimai projektams</w:t>
            </w:r>
          </w:p>
        </w:tc>
        <w:tc>
          <w:tcPr>
            <w:tcW w:w="7210" w:type="dxa"/>
            <w:gridSpan w:val="4"/>
          </w:tcPr>
          <w:p w:rsidR="0040516E" w:rsidRDefault="00B647FE">
            <w:pPr>
              <w:tabs>
                <w:tab w:val="left" w:pos="851"/>
                <w:tab w:val="left" w:pos="993"/>
                <w:tab w:val="left" w:pos="1276"/>
              </w:tabs>
              <w:jc w:val="both"/>
              <w:rPr>
                <w:szCs w:val="24"/>
              </w:rPr>
            </w:pPr>
            <w:r>
              <w:rPr>
                <w:szCs w:val="24"/>
              </w:rPr>
              <w:t xml:space="preserve">Investicijų planas patvirtintas ir sprendimas dėl daugiabučio namo atnaujinimo (modernizavimo) įgyvendinimo priimtas Lietuvos Respublikos civilinio </w:t>
            </w:r>
            <w:r>
              <w:rPr>
                <w:szCs w:val="24"/>
              </w:rPr>
              <w:t>kodekso 4.85 straipsnyje nustatyta balsų daugumos tvarka (ne mažiau kaip 55 procentai butų ir kitų patalpų savininkų balsų). Šis reikalavimas netaikomas, jei su paraiška atnaujinti (modernizuoti) daugiabutį namą pateikiamas finansuotojo rašytinis pritarima</w:t>
            </w:r>
            <w:r>
              <w:rPr>
                <w:szCs w:val="24"/>
              </w:rPr>
              <w:t>s suteikti lengvatinį kreditą.</w:t>
            </w:r>
          </w:p>
        </w:tc>
      </w:tr>
      <w:tr w:rsidR="0040516E">
        <w:trPr>
          <w:gridAfter w:val="1"/>
          <w:wAfter w:w="12" w:type="dxa"/>
        </w:trPr>
        <w:tc>
          <w:tcPr>
            <w:tcW w:w="9625" w:type="dxa"/>
            <w:gridSpan w:val="6"/>
            <w:vAlign w:val="center"/>
          </w:tcPr>
          <w:p w:rsidR="0040516E" w:rsidRDefault="00B647FE">
            <w:pPr>
              <w:tabs>
                <w:tab w:val="left" w:pos="851"/>
                <w:tab w:val="left" w:pos="993"/>
                <w:tab w:val="left" w:pos="1276"/>
              </w:tabs>
              <w:jc w:val="center"/>
              <w:rPr>
                <w:szCs w:val="24"/>
              </w:rPr>
            </w:pPr>
            <w:r>
              <w:rPr>
                <w:szCs w:val="24"/>
              </w:rPr>
              <w:t>Valstybės paramos sąlygos, jeigu įgyvendinus daugiabučio namo atnaujinimo (modernizavimo) projektą pasiekiama B ar aukštesnė pastato energinio naudingumo klasė</w:t>
            </w:r>
          </w:p>
        </w:tc>
      </w:tr>
      <w:tr w:rsidR="0040516E">
        <w:trPr>
          <w:gridAfter w:val="1"/>
          <w:wAfter w:w="12" w:type="dxa"/>
        </w:trPr>
        <w:tc>
          <w:tcPr>
            <w:tcW w:w="704" w:type="dxa"/>
            <w:vMerge w:val="restart"/>
            <w:vAlign w:val="center"/>
          </w:tcPr>
          <w:p w:rsidR="0040516E" w:rsidRDefault="00B647FE">
            <w:pPr>
              <w:tabs>
                <w:tab w:val="left" w:pos="851"/>
                <w:tab w:val="left" w:pos="993"/>
                <w:tab w:val="left" w:pos="1276"/>
              </w:tabs>
              <w:jc w:val="center"/>
              <w:rPr>
                <w:b/>
                <w:szCs w:val="24"/>
              </w:rPr>
            </w:pPr>
            <w:r>
              <w:rPr>
                <w:b/>
                <w:szCs w:val="24"/>
              </w:rPr>
              <w:t>9.</w:t>
            </w:r>
          </w:p>
        </w:tc>
        <w:tc>
          <w:tcPr>
            <w:tcW w:w="1711" w:type="dxa"/>
            <w:vMerge w:val="restart"/>
            <w:vAlign w:val="center"/>
          </w:tcPr>
          <w:p w:rsidR="0040516E" w:rsidRDefault="00B647FE">
            <w:pPr>
              <w:tabs>
                <w:tab w:val="left" w:pos="851"/>
                <w:tab w:val="left" w:pos="993"/>
                <w:tab w:val="left" w:pos="1276"/>
              </w:tabs>
              <w:jc w:val="center"/>
              <w:rPr>
                <w:b/>
                <w:szCs w:val="24"/>
              </w:rPr>
            </w:pPr>
            <w:r>
              <w:rPr>
                <w:b/>
                <w:szCs w:val="24"/>
              </w:rPr>
              <w:t>Valstybės parama</w:t>
            </w:r>
          </w:p>
        </w:tc>
        <w:tc>
          <w:tcPr>
            <w:tcW w:w="2967" w:type="dxa"/>
            <w:vAlign w:val="center"/>
          </w:tcPr>
          <w:p w:rsidR="0040516E" w:rsidRDefault="00B647FE">
            <w:pPr>
              <w:tabs>
                <w:tab w:val="left" w:pos="851"/>
                <w:tab w:val="left" w:pos="993"/>
                <w:tab w:val="left" w:pos="1276"/>
              </w:tabs>
              <w:jc w:val="center"/>
              <w:rPr>
                <w:szCs w:val="24"/>
              </w:rPr>
            </w:pPr>
            <w:r>
              <w:rPr>
                <w:szCs w:val="24"/>
              </w:rPr>
              <w:t>Lengvatinis kreditas</w:t>
            </w:r>
          </w:p>
        </w:tc>
        <w:tc>
          <w:tcPr>
            <w:tcW w:w="4243" w:type="dxa"/>
            <w:gridSpan w:val="3"/>
          </w:tcPr>
          <w:p w:rsidR="0040516E" w:rsidRDefault="00B647FE">
            <w:pPr>
              <w:tabs>
                <w:tab w:val="left" w:pos="851"/>
                <w:tab w:val="left" w:pos="993"/>
                <w:tab w:val="left" w:pos="1276"/>
              </w:tabs>
              <w:jc w:val="both"/>
              <w:rPr>
                <w:szCs w:val="24"/>
              </w:rPr>
            </w:pPr>
            <w:r>
              <w:rPr>
                <w:szCs w:val="24"/>
              </w:rPr>
              <w:t xml:space="preserve">Penkerius metus nuo </w:t>
            </w:r>
            <w:r>
              <w:rPr>
                <w:szCs w:val="24"/>
              </w:rPr>
              <w:t>pirmosios kredito dalies išmokėjimo už atliktus statybos rangos darbus dienos apmokant šio kredito bendrų metinių palūkanų dalį, viršijančią 3 procentus, jeigu kredito metinės palūkanos viršija 3 procentus. Kreditas suteikiamas ne ilgesniam kaip 20 metų la</w:t>
            </w:r>
            <w:r>
              <w:rPr>
                <w:szCs w:val="24"/>
              </w:rPr>
              <w:t>ikotarpiui.</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2967" w:type="dxa"/>
            <w:vMerge w:val="restart"/>
            <w:vAlign w:val="center"/>
          </w:tcPr>
          <w:p w:rsidR="0040516E" w:rsidRDefault="00B647FE">
            <w:pPr>
              <w:tabs>
                <w:tab w:val="left" w:pos="851"/>
                <w:tab w:val="left" w:pos="993"/>
                <w:tab w:val="left" w:pos="1276"/>
              </w:tabs>
              <w:jc w:val="center"/>
              <w:rPr>
                <w:szCs w:val="24"/>
              </w:rPr>
            </w:pPr>
            <w:r>
              <w:rPr>
                <w:szCs w:val="24"/>
              </w:rPr>
              <w:t>Teikiant 100 procentų subsidiją faktinėms išlaidoms apmokėti, neviršijant Vyriausybės nustatytų dydžių</w:t>
            </w:r>
          </w:p>
        </w:tc>
        <w:tc>
          <w:tcPr>
            <w:tcW w:w="4243" w:type="dxa"/>
            <w:gridSpan w:val="3"/>
          </w:tcPr>
          <w:p w:rsidR="0040516E" w:rsidRDefault="00B647FE">
            <w:pPr>
              <w:tabs>
                <w:tab w:val="left" w:pos="851"/>
                <w:tab w:val="left" w:pos="993"/>
                <w:tab w:val="left" w:pos="1276"/>
              </w:tabs>
              <w:jc w:val="both"/>
              <w:rPr>
                <w:szCs w:val="24"/>
              </w:rPr>
            </w:pPr>
            <w:r>
              <w:rPr>
                <w:szCs w:val="24"/>
              </w:rPr>
              <w:t xml:space="preserve">Atnaujinimo (modernizavimo) projektui (įskaitant investicijų planą ir jo tikslinimą teisės aktuose nustatytais atvejais, techninio darbo </w:t>
            </w:r>
            <w:r>
              <w:rPr>
                <w:szCs w:val="24"/>
              </w:rPr>
              <w:t>projekto parengimą ir ekspertizę, pastato energinio naudingumo sertifikato, parengto ir išduoto prieš atnaujinimo (modernizavimo) priemonių įgyvendinimą, pastato energinio naudingumo sertifikato (įskaitant pastato sandarumo matavimą), parengto ir išduoto p</w:t>
            </w:r>
            <w:r>
              <w:rPr>
                <w:szCs w:val="24"/>
              </w:rPr>
              <w:t>o atnaujinimo (modernizavimo) priemonių įgyvendinimo, parengimo, techninės (projektavimo) užduoties, topografinio plano parengimo, prisijungimo sąlygų, specialiųjų reikalavimų gavimo, statybą leidžiančio dokumento išdavimo išlaidas) parengti.</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2967" w:type="dxa"/>
            <w:vMerge/>
            <w:vAlign w:val="center"/>
          </w:tcPr>
          <w:p w:rsidR="0040516E" w:rsidRDefault="0040516E">
            <w:pPr>
              <w:tabs>
                <w:tab w:val="left" w:pos="851"/>
                <w:tab w:val="left" w:pos="993"/>
                <w:tab w:val="left" w:pos="1276"/>
              </w:tabs>
              <w:jc w:val="both"/>
              <w:rPr>
                <w:szCs w:val="24"/>
              </w:rPr>
            </w:pPr>
          </w:p>
        </w:tc>
        <w:tc>
          <w:tcPr>
            <w:tcW w:w="4243" w:type="dxa"/>
            <w:gridSpan w:val="3"/>
          </w:tcPr>
          <w:p w:rsidR="0040516E" w:rsidRDefault="00B647FE">
            <w:pPr>
              <w:tabs>
                <w:tab w:val="left" w:pos="851"/>
                <w:tab w:val="left" w:pos="993"/>
                <w:tab w:val="left" w:pos="1276"/>
              </w:tabs>
              <w:jc w:val="both"/>
              <w:rPr>
                <w:szCs w:val="24"/>
              </w:rPr>
            </w:pPr>
            <w:r>
              <w:rPr>
                <w:szCs w:val="24"/>
              </w:rPr>
              <w:t xml:space="preserve">Statybos </w:t>
            </w:r>
            <w:r>
              <w:rPr>
                <w:szCs w:val="24"/>
              </w:rPr>
              <w:t>techninei priežiūrai vykdyti.</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2967" w:type="dxa"/>
            <w:vMerge/>
            <w:vAlign w:val="center"/>
          </w:tcPr>
          <w:p w:rsidR="0040516E" w:rsidRDefault="0040516E">
            <w:pPr>
              <w:tabs>
                <w:tab w:val="left" w:pos="851"/>
                <w:tab w:val="left" w:pos="993"/>
                <w:tab w:val="left" w:pos="1276"/>
              </w:tabs>
              <w:jc w:val="both"/>
              <w:rPr>
                <w:szCs w:val="24"/>
              </w:rPr>
            </w:pPr>
          </w:p>
        </w:tc>
        <w:tc>
          <w:tcPr>
            <w:tcW w:w="4243" w:type="dxa"/>
            <w:gridSpan w:val="3"/>
          </w:tcPr>
          <w:p w:rsidR="0040516E" w:rsidRDefault="00B647FE">
            <w:pPr>
              <w:tabs>
                <w:tab w:val="left" w:pos="851"/>
                <w:tab w:val="left" w:pos="993"/>
                <w:tab w:val="left" w:pos="1276"/>
              </w:tabs>
              <w:jc w:val="both"/>
              <w:rPr>
                <w:szCs w:val="24"/>
              </w:rPr>
            </w:pPr>
            <w:r>
              <w:rPr>
                <w:szCs w:val="24"/>
              </w:rPr>
              <w:t>Atnaujinimo (modernizavimo) projekto įgyvendinimui administruoti.</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2967" w:type="dxa"/>
            <w:vAlign w:val="center"/>
          </w:tcPr>
          <w:p w:rsidR="0040516E" w:rsidRDefault="00B647FE">
            <w:pPr>
              <w:tabs>
                <w:tab w:val="left" w:pos="851"/>
                <w:tab w:val="left" w:pos="993"/>
                <w:tab w:val="left" w:pos="1276"/>
              </w:tabs>
              <w:jc w:val="center"/>
              <w:rPr>
                <w:szCs w:val="24"/>
              </w:rPr>
            </w:pPr>
            <w:r>
              <w:rPr>
                <w:szCs w:val="24"/>
              </w:rPr>
              <w:t>30 procentų kompensacija įgyvendinus projektą</w:t>
            </w:r>
          </w:p>
        </w:tc>
        <w:tc>
          <w:tcPr>
            <w:tcW w:w="4243" w:type="dxa"/>
            <w:gridSpan w:val="3"/>
          </w:tcPr>
          <w:p w:rsidR="0040516E" w:rsidRDefault="00B647FE">
            <w:pPr>
              <w:tabs>
                <w:tab w:val="left" w:pos="851"/>
                <w:tab w:val="left" w:pos="993"/>
                <w:tab w:val="left" w:pos="1276"/>
              </w:tabs>
              <w:jc w:val="both"/>
              <w:rPr>
                <w:szCs w:val="24"/>
              </w:rPr>
            </w:pPr>
            <w:r>
              <w:rPr>
                <w:szCs w:val="24"/>
              </w:rPr>
              <w:t>Energinį efektyvumą didinančios priemonės, nurodytos Programos priede.</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2967" w:type="dxa"/>
            <w:vMerge w:val="restart"/>
            <w:vAlign w:val="center"/>
          </w:tcPr>
          <w:p w:rsidR="0040516E" w:rsidRDefault="00B647FE">
            <w:pPr>
              <w:tabs>
                <w:tab w:val="left" w:pos="851"/>
                <w:tab w:val="left" w:pos="993"/>
                <w:tab w:val="left" w:pos="1276"/>
              </w:tabs>
              <w:jc w:val="center"/>
              <w:rPr>
                <w:i/>
                <w:szCs w:val="24"/>
              </w:rPr>
            </w:pPr>
            <w:r>
              <w:rPr>
                <w:szCs w:val="24"/>
              </w:rPr>
              <w:t xml:space="preserve">20 procentų papildoma </w:t>
            </w:r>
            <w:r>
              <w:rPr>
                <w:szCs w:val="24"/>
              </w:rPr>
              <w:t>kompensacija įgyvendinus projektą</w:t>
            </w:r>
          </w:p>
        </w:tc>
        <w:tc>
          <w:tcPr>
            <w:tcW w:w="4243" w:type="dxa"/>
            <w:gridSpan w:val="3"/>
          </w:tcPr>
          <w:p w:rsidR="0040516E" w:rsidRDefault="00B647FE">
            <w:pPr>
              <w:tabs>
                <w:tab w:val="left" w:pos="851"/>
                <w:tab w:val="left" w:pos="993"/>
                <w:tab w:val="left" w:pos="1276"/>
              </w:tabs>
              <w:jc w:val="both"/>
              <w:rPr>
                <w:szCs w:val="24"/>
              </w:rPr>
            </w:pPr>
            <w:r>
              <w:rPr>
                <w:szCs w:val="24"/>
              </w:rPr>
              <w:t>Daugiabučiame name įrengus atskirą ar modernizavus esamą neautomatizuotą šilumos punktą ir įrengus balansinius ventilius ant stovų.</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2967" w:type="dxa"/>
            <w:vMerge/>
            <w:vAlign w:val="center"/>
          </w:tcPr>
          <w:p w:rsidR="0040516E" w:rsidRDefault="0040516E">
            <w:pPr>
              <w:tabs>
                <w:tab w:val="left" w:pos="851"/>
                <w:tab w:val="left" w:pos="993"/>
                <w:tab w:val="left" w:pos="1276"/>
              </w:tabs>
              <w:jc w:val="both"/>
              <w:rPr>
                <w:i/>
                <w:szCs w:val="24"/>
              </w:rPr>
            </w:pPr>
          </w:p>
        </w:tc>
        <w:tc>
          <w:tcPr>
            <w:tcW w:w="4243" w:type="dxa"/>
            <w:gridSpan w:val="3"/>
          </w:tcPr>
          <w:p w:rsidR="0040516E" w:rsidRDefault="00B647FE">
            <w:pPr>
              <w:tabs>
                <w:tab w:val="left" w:pos="851"/>
                <w:tab w:val="left" w:pos="993"/>
                <w:tab w:val="left" w:pos="1276"/>
              </w:tabs>
              <w:jc w:val="both"/>
              <w:rPr>
                <w:szCs w:val="24"/>
              </w:rPr>
            </w:pPr>
            <w:r>
              <w:rPr>
                <w:szCs w:val="24"/>
              </w:rPr>
              <w:t>Pertvarkius ar pakeitus šildymo ir (ar) karšto vandens sistemą (-</w:t>
            </w:r>
            <w:proofErr w:type="spellStart"/>
            <w:r>
              <w:rPr>
                <w:szCs w:val="24"/>
              </w:rPr>
              <w:t>as</w:t>
            </w:r>
            <w:proofErr w:type="spellEnd"/>
            <w:r>
              <w:rPr>
                <w:szCs w:val="24"/>
              </w:rPr>
              <w:t xml:space="preserve">) (įskaitant šildymo sistemos balansavimo darbus), butuose ir kitose patalpose įrengiant individualios šilumos apskaitos prietaisus ar daliklių sistemą ir (ar) </w:t>
            </w:r>
            <w:proofErr w:type="spellStart"/>
            <w:r>
              <w:rPr>
                <w:szCs w:val="24"/>
              </w:rPr>
              <w:t>termostatinius</w:t>
            </w:r>
            <w:proofErr w:type="spellEnd"/>
            <w:r>
              <w:rPr>
                <w:szCs w:val="24"/>
              </w:rPr>
              <w:t xml:space="preserve"> ventilius. </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7210" w:type="dxa"/>
            <w:gridSpan w:val="4"/>
          </w:tcPr>
          <w:p w:rsidR="0040516E" w:rsidRDefault="00B647FE">
            <w:pPr>
              <w:tabs>
                <w:tab w:val="left" w:pos="851"/>
                <w:tab w:val="left" w:pos="993"/>
                <w:tab w:val="left" w:pos="1276"/>
              </w:tabs>
              <w:jc w:val="both"/>
              <w:rPr>
                <w:szCs w:val="24"/>
              </w:rPr>
            </w:pPr>
            <w:r>
              <w:rPr>
                <w:szCs w:val="24"/>
              </w:rPr>
              <w:t>Lietuvos Respublikos piniginės socialinės paramos nepasiturintiems gyventojams įstatymo nustatyta tvarka apmokant kiekvieno mėnesio kredito, paimto daugiabučio namo atnaujinimo (modernizavimo) projektui įgyvendinti, ir palūkanų įmokas, tenkančias daugiabu</w:t>
            </w:r>
            <w:r>
              <w:rPr>
                <w:szCs w:val="24"/>
              </w:rPr>
              <w:t>čio namo buto savininkui, turinčiam teisę į būsto šildymo išlaidų kompensaciją.</w:t>
            </w:r>
          </w:p>
        </w:tc>
      </w:tr>
      <w:tr w:rsidR="0040516E">
        <w:trPr>
          <w:gridAfter w:val="1"/>
          <w:wAfter w:w="12" w:type="dxa"/>
        </w:trPr>
        <w:tc>
          <w:tcPr>
            <w:tcW w:w="9625" w:type="dxa"/>
            <w:gridSpan w:val="6"/>
            <w:vAlign w:val="center"/>
          </w:tcPr>
          <w:p w:rsidR="0040516E" w:rsidRDefault="00B647FE">
            <w:pPr>
              <w:tabs>
                <w:tab w:val="left" w:pos="851"/>
                <w:tab w:val="left" w:pos="993"/>
                <w:tab w:val="left" w:pos="1276"/>
              </w:tabs>
              <w:jc w:val="center"/>
              <w:rPr>
                <w:szCs w:val="24"/>
              </w:rPr>
            </w:pPr>
            <w:r>
              <w:rPr>
                <w:szCs w:val="24"/>
              </w:rPr>
              <w:t>Valstybės paramos sąlygos, jeigu įgyvendinus daugiabučio namo atnaujinimo (modernizavimo) projektą pasiekiama C pastato energinio naudingumo klasė</w:t>
            </w:r>
          </w:p>
        </w:tc>
      </w:tr>
      <w:tr w:rsidR="0040516E">
        <w:trPr>
          <w:gridAfter w:val="1"/>
          <w:wAfter w:w="12" w:type="dxa"/>
          <w:trHeight w:val="205"/>
        </w:trPr>
        <w:tc>
          <w:tcPr>
            <w:tcW w:w="704" w:type="dxa"/>
            <w:vMerge w:val="restart"/>
            <w:vAlign w:val="center"/>
          </w:tcPr>
          <w:p w:rsidR="0040516E" w:rsidRDefault="00B647FE">
            <w:pPr>
              <w:tabs>
                <w:tab w:val="left" w:pos="851"/>
                <w:tab w:val="left" w:pos="993"/>
                <w:tab w:val="left" w:pos="1276"/>
              </w:tabs>
              <w:jc w:val="center"/>
              <w:rPr>
                <w:b/>
                <w:bCs/>
                <w:szCs w:val="24"/>
              </w:rPr>
            </w:pPr>
            <w:r>
              <w:rPr>
                <w:b/>
                <w:bCs/>
                <w:szCs w:val="24"/>
              </w:rPr>
              <w:t>10.</w:t>
            </w:r>
          </w:p>
        </w:tc>
        <w:tc>
          <w:tcPr>
            <w:tcW w:w="1711" w:type="dxa"/>
            <w:vMerge w:val="restart"/>
            <w:vAlign w:val="center"/>
          </w:tcPr>
          <w:p w:rsidR="0040516E" w:rsidRDefault="00B647FE">
            <w:pPr>
              <w:tabs>
                <w:tab w:val="left" w:pos="851"/>
                <w:tab w:val="left" w:pos="993"/>
                <w:tab w:val="left" w:pos="1276"/>
              </w:tabs>
              <w:jc w:val="center"/>
              <w:rPr>
                <w:b/>
                <w:bCs/>
                <w:szCs w:val="24"/>
              </w:rPr>
            </w:pPr>
            <w:r>
              <w:rPr>
                <w:b/>
                <w:bCs/>
                <w:szCs w:val="24"/>
              </w:rPr>
              <w:t>Valstybės parama</w:t>
            </w:r>
          </w:p>
        </w:tc>
        <w:tc>
          <w:tcPr>
            <w:tcW w:w="2967" w:type="dxa"/>
            <w:vAlign w:val="center"/>
          </w:tcPr>
          <w:p w:rsidR="0040516E" w:rsidRDefault="00B647FE">
            <w:pPr>
              <w:tabs>
                <w:tab w:val="left" w:pos="851"/>
                <w:tab w:val="left" w:pos="993"/>
                <w:tab w:val="left" w:pos="1276"/>
              </w:tabs>
              <w:jc w:val="center"/>
              <w:rPr>
                <w:b/>
                <w:bCs/>
                <w:szCs w:val="24"/>
              </w:rPr>
            </w:pPr>
            <w:r>
              <w:rPr>
                <w:szCs w:val="24"/>
              </w:rPr>
              <w:t>Lengvatinis kreditas</w:t>
            </w:r>
          </w:p>
        </w:tc>
        <w:tc>
          <w:tcPr>
            <w:tcW w:w="4243" w:type="dxa"/>
            <w:gridSpan w:val="3"/>
          </w:tcPr>
          <w:p w:rsidR="0040516E" w:rsidRDefault="00B647FE">
            <w:pPr>
              <w:tabs>
                <w:tab w:val="left" w:pos="851"/>
                <w:tab w:val="left" w:pos="993"/>
                <w:tab w:val="left" w:pos="1276"/>
              </w:tabs>
              <w:jc w:val="both"/>
              <w:rPr>
                <w:szCs w:val="24"/>
              </w:rPr>
            </w:pPr>
            <w:r>
              <w:rPr>
                <w:szCs w:val="24"/>
              </w:rPr>
              <w:t>Penkerius metus nuo pirmosios kredito dalies išmokėjimo už atliktus statybos rangos darbus dienos apmokant šio kredito bendrų metinių palūkanų dalį, viršijančią 3 procentus, jeigu kredito metinės palūkanos viršija 3 procentus. Kreditas</w:t>
            </w:r>
            <w:r>
              <w:rPr>
                <w:szCs w:val="24"/>
              </w:rPr>
              <w:t xml:space="preserve"> suteikiamas ne ilgesniam kaip 20 metų laikotarpiui.</w:t>
            </w:r>
          </w:p>
        </w:tc>
      </w:tr>
      <w:tr w:rsidR="0040516E">
        <w:trPr>
          <w:gridAfter w:val="1"/>
          <w:wAfter w:w="12" w:type="dxa"/>
          <w:trHeight w:val="204"/>
        </w:trPr>
        <w:tc>
          <w:tcPr>
            <w:tcW w:w="704" w:type="dxa"/>
            <w:vMerge/>
          </w:tcPr>
          <w:p w:rsidR="0040516E" w:rsidRDefault="0040516E">
            <w:pPr>
              <w:tabs>
                <w:tab w:val="left" w:pos="851"/>
                <w:tab w:val="left" w:pos="993"/>
                <w:tab w:val="left" w:pos="1276"/>
              </w:tabs>
              <w:jc w:val="center"/>
              <w:rPr>
                <w:b/>
                <w:bCs/>
                <w:szCs w:val="24"/>
              </w:rPr>
            </w:pPr>
          </w:p>
        </w:tc>
        <w:tc>
          <w:tcPr>
            <w:tcW w:w="1711" w:type="dxa"/>
            <w:vMerge/>
          </w:tcPr>
          <w:p w:rsidR="0040516E" w:rsidRDefault="0040516E">
            <w:pPr>
              <w:tabs>
                <w:tab w:val="left" w:pos="851"/>
                <w:tab w:val="left" w:pos="993"/>
                <w:tab w:val="left" w:pos="1276"/>
              </w:tabs>
              <w:jc w:val="center"/>
              <w:rPr>
                <w:b/>
                <w:bCs/>
                <w:szCs w:val="24"/>
              </w:rPr>
            </w:pPr>
          </w:p>
        </w:tc>
        <w:tc>
          <w:tcPr>
            <w:tcW w:w="2967" w:type="dxa"/>
            <w:vAlign w:val="center"/>
          </w:tcPr>
          <w:p w:rsidR="0040516E" w:rsidRDefault="00B647FE">
            <w:pPr>
              <w:tabs>
                <w:tab w:val="left" w:pos="851"/>
                <w:tab w:val="left" w:pos="993"/>
                <w:tab w:val="left" w:pos="1276"/>
              </w:tabs>
              <w:jc w:val="center"/>
              <w:rPr>
                <w:b/>
                <w:bCs/>
                <w:szCs w:val="24"/>
              </w:rPr>
            </w:pPr>
            <w:r>
              <w:rPr>
                <w:szCs w:val="24"/>
              </w:rPr>
              <w:t>Teikiant 100 procentų subsidiją faktinėms išlaidoms apmokėti, neviršijant Vyriausybės nustatytų dydžių</w:t>
            </w:r>
          </w:p>
        </w:tc>
        <w:tc>
          <w:tcPr>
            <w:tcW w:w="4243" w:type="dxa"/>
            <w:gridSpan w:val="3"/>
          </w:tcPr>
          <w:p w:rsidR="0040516E" w:rsidRDefault="00B647FE">
            <w:pPr>
              <w:tabs>
                <w:tab w:val="left" w:pos="851"/>
                <w:tab w:val="left" w:pos="993"/>
                <w:tab w:val="left" w:pos="1276"/>
              </w:tabs>
              <w:jc w:val="both"/>
              <w:rPr>
                <w:szCs w:val="24"/>
              </w:rPr>
            </w:pPr>
            <w:r>
              <w:rPr>
                <w:szCs w:val="24"/>
              </w:rPr>
              <w:t xml:space="preserve">Atnaujinimo (modernizavimo) projektui (įskaitant investicijų planą ir jo tikslinimą teisės </w:t>
            </w:r>
            <w:r>
              <w:rPr>
                <w:szCs w:val="24"/>
              </w:rPr>
              <w:t>aktuose nustatytais atvejais, techninio darbo projekto parengimą ir ekspertizę, pastato energinio naudingumo sertifikato, parengto ir išduoto prieš atnaujinimo (modernizavimo) priemonių įgyvendinimą, pastato energinio naudingumo sertifikato (įskaitant past</w:t>
            </w:r>
            <w:r>
              <w:rPr>
                <w:szCs w:val="24"/>
              </w:rPr>
              <w:t>ato sandarumo matavimą), parengto ir išduoto po atnaujinimo (modernizavimo) priemonių įgyvendinimo, parengimo, techninės (projektavimo) užduoties, topografinio plano parengimo, prisijungimo sąlygų, specialiųjų reikalavimų gavimo, statybą leidžiančio dokume</w:t>
            </w:r>
            <w:r>
              <w:rPr>
                <w:szCs w:val="24"/>
              </w:rPr>
              <w:t>nto išdavimo išlaidas) parengti.</w:t>
            </w:r>
          </w:p>
          <w:p w:rsidR="0040516E" w:rsidRDefault="00B647FE">
            <w:pPr>
              <w:tabs>
                <w:tab w:val="left" w:pos="851"/>
                <w:tab w:val="left" w:pos="993"/>
                <w:tab w:val="left" w:pos="1276"/>
              </w:tabs>
              <w:jc w:val="both"/>
              <w:rPr>
                <w:szCs w:val="24"/>
              </w:rPr>
            </w:pPr>
            <w:r>
              <w:rPr>
                <w:szCs w:val="24"/>
              </w:rPr>
              <w:t>Statybos techninei priežiūrai vykdyti.</w:t>
            </w:r>
          </w:p>
          <w:p w:rsidR="0040516E" w:rsidRDefault="00B647FE">
            <w:pPr>
              <w:tabs>
                <w:tab w:val="left" w:pos="851"/>
                <w:tab w:val="left" w:pos="993"/>
                <w:tab w:val="left" w:pos="1276"/>
              </w:tabs>
              <w:jc w:val="both"/>
              <w:rPr>
                <w:szCs w:val="24"/>
              </w:rPr>
            </w:pPr>
            <w:r>
              <w:rPr>
                <w:szCs w:val="24"/>
              </w:rPr>
              <w:t>Atnaujinimo (modernizavimo) projekto įgyvendinimui administruoti.</w:t>
            </w:r>
          </w:p>
        </w:tc>
      </w:tr>
      <w:tr w:rsidR="0040516E">
        <w:trPr>
          <w:gridAfter w:val="1"/>
          <w:wAfter w:w="12" w:type="dxa"/>
          <w:trHeight w:val="204"/>
        </w:trPr>
        <w:tc>
          <w:tcPr>
            <w:tcW w:w="704" w:type="dxa"/>
            <w:vMerge/>
          </w:tcPr>
          <w:p w:rsidR="0040516E" w:rsidRDefault="0040516E">
            <w:pPr>
              <w:tabs>
                <w:tab w:val="left" w:pos="851"/>
                <w:tab w:val="left" w:pos="993"/>
                <w:tab w:val="left" w:pos="1276"/>
              </w:tabs>
              <w:jc w:val="center"/>
              <w:rPr>
                <w:b/>
                <w:bCs/>
                <w:szCs w:val="24"/>
              </w:rPr>
            </w:pPr>
          </w:p>
        </w:tc>
        <w:tc>
          <w:tcPr>
            <w:tcW w:w="1711" w:type="dxa"/>
            <w:vMerge/>
          </w:tcPr>
          <w:p w:rsidR="0040516E" w:rsidRDefault="0040516E">
            <w:pPr>
              <w:tabs>
                <w:tab w:val="left" w:pos="851"/>
                <w:tab w:val="left" w:pos="993"/>
                <w:tab w:val="left" w:pos="1276"/>
              </w:tabs>
              <w:jc w:val="center"/>
              <w:rPr>
                <w:b/>
                <w:bCs/>
                <w:szCs w:val="24"/>
              </w:rPr>
            </w:pPr>
          </w:p>
        </w:tc>
        <w:tc>
          <w:tcPr>
            <w:tcW w:w="7210" w:type="dxa"/>
            <w:gridSpan w:val="4"/>
            <w:vAlign w:val="center"/>
          </w:tcPr>
          <w:p w:rsidR="0040516E" w:rsidRDefault="00B647FE">
            <w:pPr>
              <w:tabs>
                <w:tab w:val="left" w:pos="851"/>
                <w:tab w:val="left" w:pos="993"/>
                <w:tab w:val="left" w:pos="1276"/>
              </w:tabs>
              <w:jc w:val="both"/>
              <w:rPr>
                <w:szCs w:val="24"/>
              </w:rPr>
            </w:pPr>
            <w:r>
              <w:rPr>
                <w:szCs w:val="24"/>
              </w:rPr>
              <w:t xml:space="preserve">Lietuvos Respublikos piniginės socialinės paramos nepasiturintiems gyventojams įstatymo nustatyta tvarka apmokant </w:t>
            </w:r>
            <w:r>
              <w:rPr>
                <w:szCs w:val="24"/>
              </w:rPr>
              <w:t>kiekvieno mėnesio kredito, paimto daugiabučio namo atnaujinimo (modernizavimo) projektui įgyvendinti, ir palūkanų įmokas, tenkančias daugiabučio namo buto savininkui, turinčiam teisę į būsto šildymo išlaidų kompensaciją.</w:t>
            </w:r>
          </w:p>
        </w:tc>
      </w:tr>
      <w:tr w:rsidR="0040516E">
        <w:tc>
          <w:tcPr>
            <w:tcW w:w="704" w:type="dxa"/>
          </w:tcPr>
          <w:p w:rsidR="0040516E" w:rsidRDefault="0040516E">
            <w:pPr>
              <w:tabs>
                <w:tab w:val="left" w:pos="851"/>
                <w:tab w:val="left" w:pos="993"/>
                <w:tab w:val="left" w:pos="1276"/>
              </w:tabs>
              <w:jc w:val="center"/>
              <w:rPr>
                <w:i/>
                <w:szCs w:val="24"/>
              </w:rPr>
            </w:pPr>
          </w:p>
        </w:tc>
        <w:tc>
          <w:tcPr>
            <w:tcW w:w="8933" w:type="dxa"/>
            <w:gridSpan w:val="6"/>
          </w:tcPr>
          <w:p w:rsidR="0040516E" w:rsidRDefault="00B647FE">
            <w:pPr>
              <w:tabs>
                <w:tab w:val="left" w:pos="851"/>
                <w:tab w:val="left" w:pos="993"/>
                <w:tab w:val="left" w:pos="1276"/>
              </w:tabs>
              <w:jc w:val="center"/>
              <w:rPr>
                <w:i/>
                <w:szCs w:val="24"/>
              </w:rPr>
            </w:pPr>
            <w:r>
              <w:rPr>
                <w:i/>
                <w:szCs w:val="24"/>
              </w:rPr>
              <w:t xml:space="preserve">Valstybės parama (išskyrus </w:t>
            </w:r>
            <w:r>
              <w:rPr>
                <w:i/>
                <w:szCs w:val="24"/>
              </w:rPr>
              <w:t>valstybės paramą, teikiamą pagal Lietuvos Respublikos piniginės socialinės paramos nepasiturintiems gyventojams įstatymą nepasiturintiems gyventojams) teikiama paraiškos teikėjui pasirašius valstybės paramos sutartį su Agentūra.</w:t>
            </w:r>
          </w:p>
        </w:tc>
      </w:tr>
      <w:tr w:rsidR="0040516E">
        <w:trPr>
          <w:gridAfter w:val="1"/>
          <w:wAfter w:w="12" w:type="dxa"/>
        </w:trPr>
        <w:tc>
          <w:tcPr>
            <w:tcW w:w="704" w:type="dxa"/>
            <w:vMerge w:val="restart"/>
            <w:vAlign w:val="center"/>
          </w:tcPr>
          <w:p w:rsidR="0040516E" w:rsidRDefault="00B647FE">
            <w:pPr>
              <w:tabs>
                <w:tab w:val="left" w:pos="851"/>
                <w:tab w:val="left" w:pos="993"/>
                <w:tab w:val="left" w:pos="1276"/>
              </w:tabs>
              <w:jc w:val="center"/>
              <w:rPr>
                <w:b/>
                <w:szCs w:val="24"/>
              </w:rPr>
            </w:pPr>
            <w:r>
              <w:rPr>
                <w:b/>
                <w:szCs w:val="24"/>
              </w:rPr>
              <w:t>11.</w:t>
            </w:r>
          </w:p>
        </w:tc>
        <w:tc>
          <w:tcPr>
            <w:tcW w:w="1711" w:type="dxa"/>
            <w:vMerge w:val="restart"/>
            <w:vAlign w:val="center"/>
          </w:tcPr>
          <w:p w:rsidR="0040516E" w:rsidRDefault="00B647FE">
            <w:pPr>
              <w:tabs>
                <w:tab w:val="left" w:pos="851"/>
                <w:tab w:val="left" w:pos="993"/>
                <w:tab w:val="left" w:pos="1276"/>
              </w:tabs>
              <w:jc w:val="center"/>
              <w:rPr>
                <w:b/>
                <w:szCs w:val="24"/>
              </w:rPr>
            </w:pPr>
            <w:r>
              <w:rPr>
                <w:b/>
                <w:szCs w:val="24"/>
              </w:rPr>
              <w:t>Paraiškų vertinimas ir</w:t>
            </w:r>
            <w:r>
              <w:rPr>
                <w:b/>
                <w:szCs w:val="24"/>
              </w:rPr>
              <w:t xml:space="preserve"> atranka</w:t>
            </w:r>
          </w:p>
        </w:tc>
        <w:tc>
          <w:tcPr>
            <w:tcW w:w="7210" w:type="dxa"/>
            <w:gridSpan w:val="4"/>
          </w:tcPr>
          <w:p w:rsidR="0040516E" w:rsidRDefault="00B647FE">
            <w:pPr>
              <w:tabs>
                <w:tab w:val="left" w:pos="851"/>
                <w:tab w:val="left" w:pos="993"/>
                <w:tab w:val="left" w:pos="1276"/>
              </w:tabs>
              <w:jc w:val="both"/>
              <w:rPr>
                <w:szCs w:val="24"/>
              </w:rPr>
            </w:pPr>
            <w:r>
              <w:rPr>
                <w:szCs w:val="24"/>
              </w:rPr>
              <w:t>1. Paraiškos vertinamos ir atrenkamos Paraiškų atnaujinti (modernizuoti) daugiabutį namą teikimo, vertinimo ir atrankos tvarkos aprašo, patvirtinto Lietuvos Respublikos aplinkos ministro 2015 m. balandžio 1 d. įsakymu Nr. D1-267 „Dėl Paraiškų atna</w:t>
            </w:r>
            <w:r>
              <w:rPr>
                <w:szCs w:val="24"/>
              </w:rPr>
              <w:t>ujinti (modernizuoti) daugiabutį namą teikimo, vertinimo ir atrankos tvarkos aprašo patvirtinimo“ (toliau – Tvarkos aprašas), nustatyta tvarka.</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Cs/>
                <w:szCs w:val="24"/>
              </w:rPr>
            </w:pPr>
          </w:p>
        </w:tc>
        <w:tc>
          <w:tcPr>
            <w:tcW w:w="7210" w:type="dxa"/>
            <w:gridSpan w:val="4"/>
          </w:tcPr>
          <w:p w:rsidR="0040516E" w:rsidRDefault="00B647FE">
            <w:pPr>
              <w:tabs>
                <w:tab w:val="left" w:pos="851"/>
                <w:tab w:val="left" w:pos="993"/>
                <w:tab w:val="left" w:pos="1276"/>
              </w:tabs>
              <w:jc w:val="both"/>
              <w:rPr>
                <w:szCs w:val="24"/>
              </w:rPr>
            </w:pPr>
            <w:r>
              <w:rPr>
                <w:szCs w:val="24"/>
              </w:rPr>
              <w:t xml:space="preserve">2. Jeigu per kvietime nurodytą terminą pateikta paraiškų, kurių bendra investicijų ir (ar) valstybės paramos </w:t>
            </w:r>
            <w:r>
              <w:rPr>
                <w:szCs w:val="24"/>
              </w:rPr>
              <w:t>lėšų suma viršija kvietimo lėšų sumą, taikomas konkursinis paraiškų atrankos būdas. Šiuo atveju paraiškos atrenkamos pagal šiuos kriterijus:</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Cs/>
                <w:szCs w:val="24"/>
              </w:rPr>
            </w:pPr>
          </w:p>
        </w:tc>
        <w:tc>
          <w:tcPr>
            <w:tcW w:w="3676" w:type="dxa"/>
            <w:gridSpan w:val="2"/>
            <w:shd w:val="clear" w:color="auto" w:fill="auto"/>
          </w:tcPr>
          <w:p w:rsidR="0040516E" w:rsidRDefault="00B647FE">
            <w:pPr>
              <w:tabs>
                <w:tab w:val="left" w:pos="851"/>
                <w:tab w:val="left" w:pos="993"/>
                <w:tab w:val="left" w:pos="1276"/>
              </w:tabs>
              <w:jc w:val="center"/>
              <w:rPr>
                <w:b/>
                <w:bCs/>
                <w:szCs w:val="24"/>
              </w:rPr>
            </w:pPr>
            <w:r>
              <w:rPr>
                <w:b/>
                <w:bCs/>
                <w:szCs w:val="24"/>
              </w:rPr>
              <w:t>Kriterijai</w:t>
            </w:r>
          </w:p>
        </w:tc>
        <w:tc>
          <w:tcPr>
            <w:tcW w:w="3534" w:type="dxa"/>
            <w:gridSpan w:val="2"/>
            <w:shd w:val="clear" w:color="auto" w:fill="auto"/>
          </w:tcPr>
          <w:p w:rsidR="0040516E" w:rsidRDefault="00B647FE">
            <w:pPr>
              <w:tabs>
                <w:tab w:val="left" w:pos="851"/>
                <w:tab w:val="left" w:pos="993"/>
                <w:tab w:val="left" w:pos="1276"/>
              </w:tabs>
              <w:jc w:val="center"/>
              <w:rPr>
                <w:iCs/>
                <w:szCs w:val="24"/>
              </w:rPr>
            </w:pPr>
            <w:r>
              <w:rPr>
                <w:iCs/>
                <w:szCs w:val="24"/>
              </w:rPr>
              <w:t>Balai</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Cs/>
                <w:szCs w:val="24"/>
              </w:rPr>
            </w:pPr>
          </w:p>
        </w:tc>
        <w:tc>
          <w:tcPr>
            <w:tcW w:w="3676" w:type="dxa"/>
            <w:gridSpan w:val="2"/>
            <w:shd w:val="clear" w:color="auto" w:fill="auto"/>
          </w:tcPr>
          <w:p w:rsidR="0040516E" w:rsidRDefault="00B647FE">
            <w:pPr>
              <w:tabs>
                <w:tab w:val="left" w:pos="851"/>
                <w:tab w:val="left" w:pos="993"/>
                <w:tab w:val="left" w:pos="1276"/>
              </w:tabs>
              <w:jc w:val="both"/>
              <w:rPr>
                <w:iCs/>
                <w:szCs w:val="24"/>
              </w:rPr>
            </w:pPr>
            <w:r>
              <w:rPr>
                <w:szCs w:val="24"/>
              </w:rPr>
              <w:t xml:space="preserve">2.1.daugiabutis namas įtrauktas į savivaldybės patvirtintą kvartalų energinio efektyvumo didinimo programą </w:t>
            </w:r>
          </w:p>
        </w:tc>
        <w:tc>
          <w:tcPr>
            <w:tcW w:w="3534" w:type="dxa"/>
            <w:gridSpan w:val="2"/>
            <w:shd w:val="clear" w:color="auto" w:fill="auto"/>
            <w:vAlign w:val="center"/>
          </w:tcPr>
          <w:p w:rsidR="0040516E" w:rsidRDefault="00B647FE">
            <w:pPr>
              <w:tabs>
                <w:tab w:val="left" w:pos="851"/>
                <w:tab w:val="left" w:pos="993"/>
                <w:tab w:val="left" w:pos="1276"/>
              </w:tabs>
              <w:jc w:val="center"/>
              <w:rPr>
                <w:iCs/>
                <w:szCs w:val="24"/>
              </w:rPr>
            </w:pPr>
            <w:r>
              <w:rPr>
                <w:iCs/>
                <w:szCs w:val="24"/>
              </w:rPr>
              <w:t>0 arba 7,5</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Cs/>
                <w:szCs w:val="24"/>
              </w:rPr>
            </w:pPr>
          </w:p>
        </w:tc>
        <w:tc>
          <w:tcPr>
            <w:tcW w:w="3676" w:type="dxa"/>
            <w:gridSpan w:val="2"/>
            <w:shd w:val="clear" w:color="auto" w:fill="auto"/>
          </w:tcPr>
          <w:p w:rsidR="0040516E" w:rsidRDefault="00B647FE">
            <w:pPr>
              <w:tabs>
                <w:tab w:val="left" w:pos="851"/>
                <w:tab w:val="left" w:pos="993"/>
                <w:tab w:val="left" w:pos="1276"/>
              </w:tabs>
              <w:jc w:val="both"/>
              <w:rPr>
                <w:iCs/>
                <w:szCs w:val="24"/>
              </w:rPr>
            </w:pPr>
            <w:r>
              <w:rPr>
                <w:iCs/>
                <w:szCs w:val="24"/>
              </w:rPr>
              <w:t xml:space="preserve">2.2. planuojama pasiekti pastato energinio naudingumo klasė </w:t>
            </w:r>
          </w:p>
        </w:tc>
        <w:tc>
          <w:tcPr>
            <w:tcW w:w="3534" w:type="dxa"/>
            <w:gridSpan w:val="2"/>
            <w:shd w:val="clear" w:color="auto" w:fill="auto"/>
            <w:vAlign w:val="center"/>
          </w:tcPr>
          <w:p w:rsidR="0040516E" w:rsidRDefault="00B647FE">
            <w:pPr>
              <w:tabs>
                <w:tab w:val="left" w:pos="851"/>
                <w:tab w:val="left" w:pos="993"/>
                <w:tab w:val="left" w:pos="1276"/>
              </w:tabs>
              <w:jc w:val="center"/>
              <w:rPr>
                <w:iCs/>
                <w:szCs w:val="24"/>
              </w:rPr>
            </w:pPr>
            <w:r>
              <w:rPr>
                <w:iCs/>
                <w:szCs w:val="24"/>
              </w:rPr>
              <w:t>iki 6,8</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Cs/>
                <w:szCs w:val="24"/>
              </w:rPr>
            </w:pPr>
          </w:p>
        </w:tc>
        <w:tc>
          <w:tcPr>
            <w:tcW w:w="3676" w:type="dxa"/>
            <w:gridSpan w:val="2"/>
            <w:shd w:val="clear" w:color="auto" w:fill="auto"/>
            <w:vAlign w:val="center"/>
          </w:tcPr>
          <w:p w:rsidR="0040516E" w:rsidRDefault="00B647FE">
            <w:pPr>
              <w:tabs>
                <w:tab w:val="left" w:pos="851"/>
                <w:tab w:val="left" w:pos="993"/>
                <w:tab w:val="left" w:pos="1276"/>
              </w:tabs>
              <w:jc w:val="both"/>
              <w:rPr>
                <w:iCs/>
                <w:szCs w:val="24"/>
              </w:rPr>
            </w:pPr>
            <w:r>
              <w:rPr>
                <w:szCs w:val="24"/>
              </w:rPr>
              <w:t xml:space="preserve">2.3. daugiabučio namo energijos sąnaudų sumažėjimas po atnaujinimo (modernizavimo) procentais (šildymui) </w:t>
            </w:r>
          </w:p>
        </w:tc>
        <w:tc>
          <w:tcPr>
            <w:tcW w:w="3534" w:type="dxa"/>
            <w:gridSpan w:val="2"/>
            <w:shd w:val="clear" w:color="auto" w:fill="auto"/>
            <w:vAlign w:val="center"/>
          </w:tcPr>
          <w:p w:rsidR="0040516E" w:rsidRDefault="00B647FE">
            <w:pPr>
              <w:tabs>
                <w:tab w:val="left" w:pos="851"/>
                <w:tab w:val="left" w:pos="993"/>
                <w:tab w:val="left" w:pos="1276"/>
              </w:tabs>
              <w:jc w:val="center"/>
              <w:rPr>
                <w:iCs/>
                <w:szCs w:val="24"/>
              </w:rPr>
            </w:pPr>
            <w:r>
              <w:rPr>
                <w:iCs/>
                <w:szCs w:val="24"/>
              </w:rPr>
              <w:t>iki 6,5</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Cs/>
                <w:szCs w:val="24"/>
              </w:rPr>
            </w:pPr>
          </w:p>
        </w:tc>
        <w:tc>
          <w:tcPr>
            <w:tcW w:w="3676" w:type="dxa"/>
            <w:gridSpan w:val="2"/>
            <w:shd w:val="clear" w:color="auto" w:fill="auto"/>
          </w:tcPr>
          <w:p w:rsidR="0040516E" w:rsidRDefault="00B647FE">
            <w:pPr>
              <w:tabs>
                <w:tab w:val="left" w:pos="851"/>
                <w:tab w:val="left" w:pos="993"/>
                <w:tab w:val="left" w:pos="1276"/>
              </w:tabs>
              <w:jc w:val="both"/>
              <w:rPr>
                <w:iCs/>
                <w:szCs w:val="24"/>
              </w:rPr>
            </w:pPr>
            <w:r>
              <w:rPr>
                <w:szCs w:val="24"/>
              </w:rPr>
              <w:t>2.4.</w:t>
            </w:r>
            <w:r>
              <w:rPr>
                <w:iCs/>
                <w:szCs w:val="24"/>
              </w:rPr>
              <w:t xml:space="preserve"> energetinis nepriteklius (skurdas) (gyventojų, gaunančių kompensacijas už šildymą, dalis)</w:t>
            </w:r>
          </w:p>
        </w:tc>
        <w:tc>
          <w:tcPr>
            <w:tcW w:w="3534" w:type="dxa"/>
            <w:gridSpan w:val="2"/>
            <w:shd w:val="clear" w:color="auto" w:fill="auto"/>
            <w:vAlign w:val="center"/>
          </w:tcPr>
          <w:p w:rsidR="0040516E" w:rsidRDefault="00B647FE">
            <w:pPr>
              <w:tabs>
                <w:tab w:val="left" w:pos="851"/>
                <w:tab w:val="left" w:pos="993"/>
                <w:tab w:val="left" w:pos="1276"/>
              </w:tabs>
              <w:jc w:val="center"/>
              <w:rPr>
                <w:iCs/>
                <w:szCs w:val="24"/>
              </w:rPr>
            </w:pPr>
            <w:r>
              <w:rPr>
                <w:iCs/>
                <w:szCs w:val="24"/>
              </w:rPr>
              <w:t>iki 6,25</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3676" w:type="dxa"/>
            <w:gridSpan w:val="2"/>
            <w:shd w:val="clear" w:color="auto" w:fill="auto"/>
          </w:tcPr>
          <w:p w:rsidR="0040516E" w:rsidRDefault="00B647FE">
            <w:pPr>
              <w:tabs>
                <w:tab w:val="left" w:pos="851"/>
                <w:tab w:val="left" w:pos="993"/>
                <w:tab w:val="left" w:pos="1276"/>
              </w:tabs>
              <w:jc w:val="both"/>
              <w:rPr>
                <w:iCs/>
                <w:szCs w:val="24"/>
              </w:rPr>
            </w:pPr>
            <w:r>
              <w:rPr>
                <w:szCs w:val="24"/>
              </w:rPr>
              <w:t>2.5. gautas statybos leidimas</w:t>
            </w:r>
          </w:p>
        </w:tc>
        <w:tc>
          <w:tcPr>
            <w:tcW w:w="3534" w:type="dxa"/>
            <w:gridSpan w:val="2"/>
            <w:shd w:val="clear" w:color="auto" w:fill="auto"/>
            <w:vAlign w:val="center"/>
          </w:tcPr>
          <w:p w:rsidR="0040516E" w:rsidRDefault="00B647FE">
            <w:pPr>
              <w:tabs>
                <w:tab w:val="left" w:pos="851"/>
                <w:tab w:val="left" w:pos="993"/>
                <w:tab w:val="left" w:pos="1276"/>
              </w:tabs>
              <w:jc w:val="center"/>
              <w:rPr>
                <w:iCs/>
                <w:szCs w:val="24"/>
              </w:rPr>
            </w:pPr>
            <w:r>
              <w:rPr>
                <w:iCs/>
                <w:szCs w:val="24"/>
              </w:rPr>
              <w:t xml:space="preserve">0 </w:t>
            </w:r>
            <w:r>
              <w:rPr>
                <w:iCs/>
                <w:szCs w:val="24"/>
              </w:rPr>
              <w:t>arba 4,4</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3676" w:type="dxa"/>
            <w:gridSpan w:val="2"/>
            <w:shd w:val="clear" w:color="auto" w:fill="auto"/>
            <w:vAlign w:val="center"/>
          </w:tcPr>
          <w:p w:rsidR="0040516E" w:rsidRDefault="00B647FE">
            <w:pPr>
              <w:tabs>
                <w:tab w:val="left" w:pos="851"/>
                <w:tab w:val="left" w:pos="993"/>
                <w:tab w:val="left" w:pos="1276"/>
              </w:tabs>
              <w:jc w:val="both"/>
              <w:rPr>
                <w:szCs w:val="24"/>
              </w:rPr>
            </w:pPr>
            <w:r>
              <w:rPr>
                <w:szCs w:val="24"/>
              </w:rPr>
              <w:t>2.6. būtų ir kitų patalpų savininkų pritarimo procentas</w:t>
            </w:r>
          </w:p>
        </w:tc>
        <w:tc>
          <w:tcPr>
            <w:tcW w:w="3534" w:type="dxa"/>
            <w:gridSpan w:val="2"/>
            <w:shd w:val="clear" w:color="auto" w:fill="auto"/>
            <w:vAlign w:val="center"/>
          </w:tcPr>
          <w:p w:rsidR="0040516E" w:rsidRDefault="00B647FE">
            <w:pPr>
              <w:tabs>
                <w:tab w:val="left" w:pos="851"/>
                <w:tab w:val="left" w:pos="993"/>
                <w:tab w:val="left" w:pos="1276"/>
              </w:tabs>
              <w:jc w:val="center"/>
              <w:rPr>
                <w:iCs/>
                <w:szCs w:val="24"/>
              </w:rPr>
            </w:pPr>
            <w:r>
              <w:rPr>
                <w:szCs w:val="24"/>
              </w:rPr>
              <w:t>iki 3,3</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3676" w:type="dxa"/>
            <w:gridSpan w:val="2"/>
            <w:shd w:val="clear" w:color="auto" w:fill="auto"/>
          </w:tcPr>
          <w:p w:rsidR="0040516E" w:rsidRDefault="00B647FE">
            <w:pPr>
              <w:tabs>
                <w:tab w:val="left" w:pos="851"/>
                <w:tab w:val="left" w:pos="993"/>
                <w:tab w:val="left" w:pos="1276"/>
              </w:tabs>
              <w:jc w:val="both"/>
              <w:rPr>
                <w:iCs/>
                <w:szCs w:val="24"/>
              </w:rPr>
            </w:pPr>
            <w:r>
              <w:rPr>
                <w:iCs/>
                <w:szCs w:val="24"/>
              </w:rPr>
              <w:t>3. Paaiškinimai</w:t>
            </w:r>
          </w:p>
        </w:tc>
        <w:tc>
          <w:tcPr>
            <w:tcW w:w="3534" w:type="dxa"/>
            <w:gridSpan w:val="2"/>
            <w:shd w:val="clear" w:color="auto" w:fill="auto"/>
          </w:tcPr>
          <w:p w:rsidR="0040516E" w:rsidRDefault="0040516E">
            <w:pPr>
              <w:tabs>
                <w:tab w:val="left" w:pos="851"/>
                <w:tab w:val="left" w:pos="993"/>
                <w:tab w:val="left" w:pos="1276"/>
              </w:tabs>
              <w:jc w:val="both"/>
              <w:rPr>
                <w:iCs/>
                <w:szCs w:val="24"/>
              </w:rPr>
            </w:pP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7210" w:type="dxa"/>
            <w:gridSpan w:val="4"/>
          </w:tcPr>
          <w:p w:rsidR="0040516E" w:rsidRDefault="00B647FE">
            <w:pPr>
              <w:tabs>
                <w:tab w:val="left" w:pos="851"/>
                <w:tab w:val="left" w:pos="993"/>
                <w:tab w:val="left" w:pos="1276"/>
              </w:tabs>
              <w:jc w:val="both"/>
              <w:rPr>
                <w:iCs/>
                <w:szCs w:val="24"/>
              </w:rPr>
            </w:pPr>
            <w:r>
              <w:rPr>
                <w:iCs/>
                <w:szCs w:val="24"/>
              </w:rPr>
              <w:t xml:space="preserve">3.1. už 2.1 ir 2.5 papunkčiuose nurodytus kriterijus balai skiriami, jeigu pateikiami dokumentai (statybos leidimas, nuoroda į interneto svetainę, kurioje daugiabutis namas būtų įtrauktas į savivaldybės </w:t>
            </w:r>
            <w:r>
              <w:rPr>
                <w:szCs w:val="24"/>
              </w:rPr>
              <w:t>kvartalų energinio efektyvumo didinimo programą</w:t>
            </w:r>
            <w:r>
              <w:rPr>
                <w:iCs/>
                <w:szCs w:val="24"/>
              </w:rPr>
              <w:t>). Jei</w:t>
            </w:r>
            <w:r>
              <w:rPr>
                <w:iCs/>
                <w:szCs w:val="24"/>
              </w:rPr>
              <w:t>gu dokumentai nepateikiami, skiriama 0 balų;</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7210" w:type="dxa"/>
            <w:gridSpan w:val="4"/>
          </w:tcPr>
          <w:p w:rsidR="0040516E" w:rsidRDefault="00B647FE">
            <w:pPr>
              <w:tabs>
                <w:tab w:val="left" w:pos="851"/>
                <w:tab w:val="left" w:pos="993"/>
                <w:tab w:val="left" w:pos="1276"/>
              </w:tabs>
              <w:jc w:val="both"/>
              <w:rPr>
                <w:iCs/>
                <w:szCs w:val="24"/>
              </w:rPr>
            </w:pPr>
            <w:r>
              <w:rPr>
                <w:iCs/>
                <w:szCs w:val="24"/>
              </w:rPr>
              <w:t>3.2. už 2.2 papunktyje nurodytą kriterijų balai skiriami atsižvelgus į planuojamą pasiekti pastato energinio naudingumo klasę: A energinio naudingumo klasei suteikiami 6,8 balai, B – 5,44 balai, C – 0 balų;</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7210" w:type="dxa"/>
            <w:gridSpan w:val="4"/>
          </w:tcPr>
          <w:p w:rsidR="0040516E" w:rsidRDefault="00B647FE">
            <w:pPr>
              <w:tabs>
                <w:tab w:val="left" w:pos="851"/>
                <w:tab w:val="left" w:pos="993"/>
                <w:tab w:val="left" w:pos="1276"/>
              </w:tabs>
              <w:jc w:val="both"/>
              <w:rPr>
                <w:iCs/>
                <w:szCs w:val="24"/>
              </w:rPr>
            </w:pPr>
            <w:r>
              <w:rPr>
                <w:iCs/>
                <w:szCs w:val="24"/>
              </w:rPr>
              <w:t xml:space="preserve">3.3. už 2.3, 2.4 ir 2.6 papunkčiuose nurodytus kriterijus balai skiriami apskaičiuojant pagal santykį su didžiausiu reitinge esančiu rezultatu. </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7210" w:type="dxa"/>
            <w:gridSpan w:val="4"/>
            <w:shd w:val="clear" w:color="auto" w:fill="auto"/>
          </w:tcPr>
          <w:p w:rsidR="0040516E" w:rsidRDefault="00B647FE">
            <w:pPr>
              <w:tabs>
                <w:tab w:val="left" w:pos="851"/>
                <w:tab w:val="left" w:pos="993"/>
                <w:tab w:val="left" w:pos="1276"/>
              </w:tabs>
              <w:jc w:val="both"/>
              <w:rPr>
                <w:szCs w:val="24"/>
              </w:rPr>
            </w:pPr>
            <w:r>
              <w:rPr>
                <w:szCs w:val="24"/>
              </w:rPr>
              <w:t>Atrankos kriterijų balai sumuojami ir reitinguojami bendro balo mažėjimo tvarka, pirmumą teikiant aukštesn</w:t>
            </w:r>
            <w:r>
              <w:rPr>
                <w:szCs w:val="24"/>
              </w:rPr>
              <w:t>į balą surinkusioms paraiškoms.</w:t>
            </w:r>
          </w:p>
        </w:tc>
      </w:tr>
      <w:tr w:rsidR="0040516E">
        <w:trPr>
          <w:gridAfter w:val="1"/>
          <w:wAfter w:w="12" w:type="dxa"/>
        </w:trPr>
        <w:tc>
          <w:tcPr>
            <w:tcW w:w="704" w:type="dxa"/>
            <w:vMerge/>
            <w:vAlign w:val="center"/>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3676" w:type="dxa"/>
            <w:gridSpan w:val="2"/>
            <w:shd w:val="clear" w:color="auto" w:fill="auto"/>
            <w:vAlign w:val="center"/>
          </w:tcPr>
          <w:p w:rsidR="0040516E" w:rsidRDefault="00B647FE">
            <w:pPr>
              <w:tabs>
                <w:tab w:val="left" w:pos="851"/>
                <w:tab w:val="left" w:pos="993"/>
                <w:tab w:val="left" w:pos="1276"/>
              </w:tabs>
              <w:jc w:val="center"/>
              <w:rPr>
                <w:szCs w:val="24"/>
              </w:rPr>
            </w:pPr>
            <w:r>
              <w:rPr>
                <w:szCs w:val="24"/>
              </w:rPr>
              <w:t>Pastabos</w:t>
            </w:r>
          </w:p>
        </w:tc>
        <w:tc>
          <w:tcPr>
            <w:tcW w:w="3534" w:type="dxa"/>
            <w:gridSpan w:val="2"/>
            <w:shd w:val="clear" w:color="auto" w:fill="auto"/>
          </w:tcPr>
          <w:p w:rsidR="0040516E" w:rsidRDefault="00B647FE">
            <w:pPr>
              <w:tabs>
                <w:tab w:val="left" w:pos="851"/>
                <w:tab w:val="left" w:pos="993"/>
                <w:tab w:val="left" w:pos="1276"/>
              </w:tabs>
              <w:jc w:val="both"/>
              <w:rPr>
                <w:szCs w:val="24"/>
              </w:rPr>
            </w:pPr>
            <w:r>
              <w:rPr>
                <w:szCs w:val="24"/>
              </w:rPr>
              <w:t>1. Kriterijaus balas apvalinamas iki 1/10000 dalies.</w:t>
            </w:r>
          </w:p>
          <w:p w:rsidR="0040516E" w:rsidRDefault="00B647FE">
            <w:pPr>
              <w:tabs>
                <w:tab w:val="left" w:pos="851"/>
                <w:tab w:val="left" w:pos="993"/>
                <w:tab w:val="left" w:pos="1276"/>
              </w:tabs>
              <w:jc w:val="both"/>
              <w:rPr>
                <w:szCs w:val="24"/>
              </w:rPr>
            </w:pPr>
            <w:r>
              <w:rPr>
                <w:szCs w:val="24"/>
              </w:rPr>
              <w:t xml:space="preserve">2. Jeigu dvi ar daugiau paraiškų surenka vienodą kriterijų balą, paraiškos reitinguojamos atsižvelgus į didesnę planuojamą atnaujinti (modernizuoti) daugiabučio namo butų naudingojo ir kitų patalpų bendrojo naudojimo plotų sumą. </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12.</w:t>
            </w:r>
          </w:p>
        </w:tc>
        <w:tc>
          <w:tcPr>
            <w:tcW w:w="1711" w:type="dxa"/>
            <w:vAlign w:val="center"/>
          </w:tcPr>
          <w:p w:rsidR="0040516E" w:rsidRDefault="00B647FE">
            <w:pPr>
              <w:tabs>
                <w:tab w:val="left" w:pos="851"/>
                <w:tab w:val="left" w:pos="993"/>
                <w:tab w:val="left" w:pos="1276"/>
              </w:tabs>
              <w:jc w:val="center"/>
              <w:rPr>
                <w:b/>
                <w:szCs w:val="24"/>
              </w:rPr>
            </w:pPr>
            <w:r>
              <w:rPr>
                <w:b/>
                <w:szCs w:val="24"/>
              </w:rPr>
              <w:t xml:space="preserve">Paraiškų </w:t>
            </w:r>
            <w:r>
              <w:rPr>
                <w:b/>
                <w:szCs w:val="24"/>
              </w:rPr>
              <w:t>reitingavimas ir finansuojamų projektų sąrašo sudarymas</w:t>
            </w:r>
          </w:p>
        </w:tc>
        <w:tc>
          <w:tcPr>
            <w:tcW w:w="7210" w:type="dxa"/>
            <w:gridSpan w:val="4"/>
          </w:tcPr>
          <w:p w:rsidR="0040516E" w:rsidRDefault="00B647FE">
            <w:pPr>
              <w:tabs>
                <w:tab w:val="left" w:pos="851"/>
                <w:tab w:val="left" w:pos="993"/>
                <w:tab w:val="left" w:pos="1276"/>
              </w:tabs>
              <w:jc w:val="both"/>
              <w:rPr>
                <w:szCs w:val="24"/>
              </w:rPr>
            </w:pPr>
            <w:r>
              <w:rPr>
                <w:szCs w:val="24"/>
              </w:rPr>
              <w:t>Paraiškos reitinguojamos ir finansuojamų projektų sąrašas sudaromas  Tvarkos aprašo nustatyta tvarka, atsižvelgiant į kvietime nurodytus paraiškų atrankos prioritetinius kriterijus eilės tvarka.</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13.</w:t>
            </w:r>
          </w:p>
        </w:tc>
        <w:tc>
          <w:tcPr>
            <w:tcW w:w="1711" w:type="dxa"/>
            <w:vAlign w:val="center"/>
          </w:tcPr>
          <w:p w:rsidR="0040516E" w:rsidRDefault="00B647FE">
            <w:pPr>
              <w:tabs>
                <w:tab w:val="left" w:pos="851"/>
                <w:tab w:val="left" w:pos="993"/>
                <w:tab w:val="left" w:pos="1276"/>
              </w:tabs>
              <w:jc w:val="center"/>
              <w:rPr>
                <w:b/>
                <w:szCs w:val="24"/>
              </w:rPr>
            </w:pPr>
            <w:r>
              <w:rPr>
                <w:b/>
                <w:szCs w:val="24"/>
              </w:rPr>
              <w:t>Rezervinis projektų sąrašas</w:t>
            </w:r>
          </w:p>
        </w:tc>
        <w:tc>
          <w:tcPr>
            <w:tcW w:w="7210" w:type="dxa"/>
            <w:gridSpan w:val="4"/>
          </w:tcPr>
          <w:p w:rsidR="0040516E" w:rsidRDefault="00B647FE">
            <w:pPr>
              <w:tabs>
                <w:tab w:val="left" w:pos="851"/>
                <w:tab w:val="left" w:pos="993"/>
                <w:tab w:val="left" w:pos="1276"/>
              </w:tabs>
              <w:jc w:val="both"/>
              <w:rPr>
                <w:szCs w:val="24"/>
              </w:rPr>
            </w:pPr>
            <w:r>
              <w:rPr>
                <w:szCs w:val="24"/>
              </w:rPr>
              <w:t>Paraiškos, kurios atlikus projektų atranką nepateko į einamųjų metų finansuojamų projektų sąrašą, Tvarkos aprašo nustatyta tvarka įrašomos į rezervinį projektų sąrašą. Šiame sąraše esantys projektai eilės tvarka gali būti perkel</w:t>
            </w:r>
            <w:r>
              <w:rPr>
                <w:szCs w:val="24"/>
              </w:rPr>
              <w:t>iami į finansuojamų projektų sąrašą, jeigu finansuojamų projektų sąraše esantis projektas teisės aktų nustatytais terminais nepradėtas įgyvendinti.</w:t>
            </w:r>
          </w:p>
          <w:p w:rsidR="0040516E" w:rsidRDefault="00B647FE">
            <w:pPr>
              <w:tabs>
                <w:tab w:val="left" w:pos="851"/>
                <w:tab w:val="left" w:pos="993"/>
                <w:tab w:val="left" w:pos="1276"/>
              </w:tabs>
              <w:jc w:val="both"/>
              <w:rPr>
                <w:szCs w:val="24"/>
              </w:rPr>
            </w:pPr>
            <w:r>
              <w:rPr>
                <w:szCs w:val="24"/>
              </w:rPr>
              <w:t xml:space="preserve">Rezerviniame sąraše esantys projektai, įvertinus einamųjų metų turimus ar planuojamus finansinius išteklius </w:t>
            </w:r>
            <w:r>
              <w:rPr>
                <w:szCs w:val="24"/>
              </w:rPr>
              <w:t>projektams finansuoti ir valstybės paramai teikti, eilės tvarka finansuojami. Turint lėšų atnaujinimo (modernizavimo) projektams finansuoti ir (ar) valstybės paramai teikti, gali būti pasirašomos valstybės paramos teikimo sutartys dėl projektų, esančių rez</w:t>
            </w:r>
            <w:r>
              <w:rPr>
                <w:szCs w:val="24"/>
              </w:rPr>
              <w:t>erviniame sąraše, įgyvendinimo.</w:t>
            </w:r>
          </w:p>
        </w:tc>
      </w:tr>
      <w:tr w:rsidR="0040516E">
        <w:trPr>
          <w:gridAfter w:val="1"/>
          <w:wAfter w:w="12" w:type="dxa"/>
        </w:trPr>
        <w:tc>
          <w:tcPr>
            <w:tcW w:w="704" w:type="dxa"/>
            <w:vAlign w:val="center"/>
          </w:tcPr>
          <w:p w:rsidR="0040516E" w:rsidRDefault="00B647FE">
            <w:pPr>
              <w:tabs>
                <w:tab w:val="left" w:pos="851"/>
                <w:tab w:val="left" w:pos="993"/>
                <w:tab w:val="left" w:pos="1276"/>
              </w:tabs>
              <w:jc w:val="center"/>
              <w:rPr>
                <w:b/>
                <w:szCs w:val="24"/>
              </w:rPr>
            </w:pPr>
            <w:r>
              <w:rPr>
                <w:b/>
                <w:szCs w:val="24"/>
              </w:rPr>
              <w:t>14.</w:t>
            </w:r>
          </w:p>
        </w:tc>
        <w:tc>
          <w:tcPr>
            <w:tcW w:w="1711" w:type="dxa"/>
            <w:vAlign w:val="center"/>
          </w:tcPr>
          <w:p w:rsidR="0040516E" w:rsidRDefault="00B647FE">
            <w:pPr>
              <w:tabs>
                <w:tab w:val="left" w:pos="851"/>
                <w:tab w:val="left" w:pos="993"/>
                <w:tab w:val="left" w:pos="1276"/>
              </w:tabs>
              <w:jc w:val="center"/>
              <w:rPr>
                <w:b/>
                <w:bCs/>
                <w:szCs w:val="24"/>
              </w:rPr>
            </w:pPr>
            <w:r>
              <w:rPr>
                <w:b/>
                <w:bCs/>
                <w:szCs w:val="24"/>
              </w:rPr>
              <w:t>Finansuojamų ir rezervinio projektų sąrašo sudarymo terminas</w:t>
            </w:r>
          </w:p>
        </w:tc>
        <w:tc>
          <w:tcPr>
            <w:tcW w:w="7210" w:type="dxa"/>
            <w:gridSpan w:val="4"/>
            <w:vAlign w:val="center"/>
          </w:tcPr>
          <w:p w:rsidR="0040516E" w:rsidRDefault="00B647FE">
            <w:pPr>
              <w:tabs>
                <w:tab w:val="left" w:pos="851"/>
                <w:tab w:val="left" w:pos="993"/>
                <w:tab w:val="left" w:pos="1276"/>
              </w:tabs>
              <w:jc w:val="center"/>
              <w:rPr>
                <w:szCs w:val="24"/>
              </w:rPr>
            </w:pPr>
            <w:r>
              <w:rPr>
                <w:szCs w:val="24"/>
              </w:rPr>
              <w:t>2023-05-15</w:t>
            </w:r>
          </w:p>
        </w:tc>
      </w:tr>
      <w:tr w:rsidR="0040516E">
        <w:trPr>
          <w:gridAfter w:val="1"/>
          <w:wAfter w:w="12" w:type="dxa"/>
        </w:trPr>
        <w:tc>
          <w:tcPr>
            <w:tcW w:w="704" w:type="dxa"/>
            <w:vMerge w:val="restart"/>
            <w:vAlign w:val="center"/>
          </w:tcPr>
          <w:p w:rsidR="0040516E" w:rsidRDefault="00B647FE">
            <w:pPr>
              <w:tabs>
                <w:tab w:val="left" w:pos="851"/>
                <w:tab w:val="left" w:pos="993"/>
                <w:tab w:val="left" w:pos="1276"/>
              </w:tabs>
              <w:jc w:val="center"/>
              <w:rPr>
                <w:b/>
                <w:szCs w:val="24"/>
              </w:rPr>
            </w:pPr>
            <w:r>
              <w:rPr>
                <w:b/>
                <w:szCs w:val="24"/>
              </w:rPr>
              <w:t>15.</w:t>
            </w:r>
          </w:p>
        </w:tc>
        <w:tc>
          <w:tcPr>
            <w:tcW w:w="1711" w:type="dxa"/>
            <w:vMerge w:val="restart"/>
            <w:vAlign w:val="center"/>
          </w:tcPr>
          <w:p w:rsidR="0040516E" w:rsidRDefault="00B647FE">
            <w:pPr>
              <w:tabs>
                <w:tab w:val="left" w:pos="851"/>
                <w:tab w:val="left" w:pos="993"/>
                <w:tab w:val="left" w:pos="1276"/>
              </w:tabs>
              <w:jc w:val="center"/>
              <w:rPr>
                <w:b/>
                <w:bCs/>
                <w:szCs w:val="24"/>
              </w:rPr>
            </w:pPr>
            <w:r>
              <w:rPr>
                <w:b/>
                <w:bCs/>
                <w:szCs w:val="24"/>
              </w:rPr>
              <w:t>Paraiškų teikimas</w:t>
            </w:r>
          </w:p>
        </w:tc>
        <w:tc>
          <w:tcPr>
            <w:tcW w:w="3676" w:type="dxa"/>
            <w:gridSpan w:val="2"/>
            <w:vAlign w:val="center"/>
          </w:tcPr>
          <w:p w:rsidR="0040516E" w:rsidRDefault="00B647FE">
            <w:pPr>
              <w:tabs>
                <w:tab w:val="left" w:pos="851"/>
                <w:tab w:val="left" w:pos="993"/>
                <w:tab w:val="left" w:pos="1276"/>
              </w:tabs>
              <w:jc w:val="center"/>
              <w:rPr>
                <w:szCs w:val="24"/>
              </w:rPr>
            </w:pPr>
            <w:r>
              <w:rPr>
                <w:szCs w:val="24"/>
              </w:rPr>
              <w:t>Terminas</w:t>
            </w:r>
          </w:p>
        </w:tc>
        <w:tc>
          <w:tcPr>
            <w:tcW w:w="3534" w:type="dxa"/>
            <w:gridSpan w:val="2"/>
            <w:vAlign w:val="center"/>
          </w:tcPr>
          <w:p w:rsidR="0040516E" w:rsidRDefault="00B647FE">
            <w:pPr>
              <w:tabs>
                <w:tab w:val="left" w:pos="851"/>
                <w:tab w:val="left" w:pos="993"/>
                <w:tab w:val="left" w:pos="1276"/>
              </w:tabs>
              <w:jc w:val="both"/>
              <w:rPr>
                <w:szCs w:val="24"/>
              </w:rPr>
            </w:pPr>
            <w:r>
              <w:rPr>
                <w:szCs w:val="24"/>
              </w:rPr>
              <w:t xml:space="preserve">Nuo kvietimo paskelbimo iki </w:t>
            </w:r>
          </w:p>
          <w:p w:rsidR="0040516E" w:rsidRDefault="00B647FE">
            <w:pPr>
              <w:tabs>
                <w:tab w:val="left" w:pos="851"/>
                <w:tab w:val="left" w:pos="993"/>
                <w:tab w:val="left" w:pos="1276"/>
              </w:tabs>
              <w:jc w:val="both"/>
              <w:rPr>
                <w:szCs w:val="24"/>
              </w:rPr>
            </w:pPr>
            <w:r>
              <w:rPr>
                <w:szCs w:val="24"/>
              </w:rPr>
              <w:t>2023-04-14.</w:t>
            </w:r>
          </w:p>
        </w:tc>
      </w:tr>
      <w:tr w:rsidR="0040516E">
        <w:trPr>
          <w:gridAfter w:val="1"/>
          <w:wAfter w:w="12" w:type="dxa"/>
        </w:trPr>
        <w:tc>
          <w:tcPr>
            <w:tcW w:w="704" w:type="dxa"/>
            <w:vMerge/>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3676" w:type="dxa"/>
            <w:gridSpan w:val="2"/>
            <w:vAlign w:val="center"/>
          </w:tcPr>
          <w:p w:rsidR="0040516E" w:rsidRDefault="00B647FE">
            <w:pPr>
              <w:tabs>
                <w:tab w:val="left" w:pos="851"/>
                <w:tab w:val="left" w:pos="993"/>
                <w:tab w:val="left" w:pos="1276"/>
              </w:tabs>
              <w:jc w:val="center"/>
              <w:rPr>
                <w:szCs w:val="24"/>
              </w:rPr>
            </w:pPr>
            <w:r>
              <w:rPr>
                <w:szCs w:val="24"/>
              </w:rPr>
              <w:t>Vieta</w:t>
            </w:r>
          </w:p>
        </w:tc>
        <w:tc>
          <w:tcPr>
            <w:tcW w:w="3534" w:type="dxa"/>
            <w:gridSpan w:val="2"/>
            <w:vAlign w:val="center"/>
          </w:tcPr>
          <w:p w:rsidR="0040516E" w:rsidRDefault="00B647FE">
            <w:pPr>
              <w:tabs>
                <w:tab w:val="left" w:pos="851"/>
                <w:tab w:val="left" w:pos="993"/>
                <w:tab w:val="left" w:pos="1276"/>
              </w:tabs>
              <w:jc w:val="both"/>
              <w:rPr>
                <w:szCs w:val="24"/>
              </w:rPr>
            </w:pPr>
            <w:r>
              <w:rPr>
                <w:szCs w:val="24"/>
              </w:rPr>
              <w:t xml:space="preserve">Paraiškos teikiamos APVIS, kai APVIS funkcinės galimybės </w:t>
            </w:r>
            <w:r>
              <w:rPr>
                <w:szCs w:val="24"/>
              </w:rPr>
              <w:t>nepakankamos ar laikinai neužtikrinamos, Agentūra gali teikti, gauti ar kaupti (ta pačia forma) reikalingą informaciją raštu. Informaciją apie APVIS funkcinių galimybių laikiną neužtikrinimą Agentūra skelbia interneto svetainėje. Išnykus aplinkybėms, dėl k</w:t>
            </w:r>
            <w:r>
              <w:rPr>
                <w:szCs w:val="24"/>
              </w:rPr>
              <w:t>urių veiksmai negalėjo būti atliekami APVIS, visa reikalinga informacija (ir ta, kuri buvo raštu teikiama, gauta ir (ar) kaupiama) registruojama APVIS.</w:t>
            </w:r>
          </w:p>
        </w:tc>
      </w:tr>
      <w:tr w:rsidR="0040516E">
        <w:trPr>
          <w:gridAfter w:val="1"/>
          <w:wAfter w:w="12" w:type="dxa"/>
        </w:trPr>
        <w:tc>
          <w:tcPr>
            <w:tcW w:w="704" w:type="dxa"/>
            <w:vMerge/>
          </w:tcPr>
          <w:p w:rsidR="0040516E" w:rsidRDefault="0040516E">
            <w:pPr>
              <w:tabs>
                <w:tab w:val="left" w:pos="851"/>
                <w:tab w:val="left" w:pos="993"/>
                <w:tab w:val="left" w:pos="1276"/>
              </w:tabs>
              <w:jc w:val="center"/>
              <w:rPr>
                <w:b/>
                <w:szCs w:val="24"/>
              </w:rPr>
            </w:pPr>
          </w:p>
        </w:tc>
        <w:tc>
          <w:tcPr>
            <w:tcW w:w="1711" w:type="dxa"/>
            <w:vMerge/>
            <w:vAlign w:val="center"/>
          </w:tcPr>
          <w:p w:rsidR="0040516E" w:rsidRDefault="0040516E">
            <w:pPr>
              <w:tabs>
                <w:tab w:val="left" w:pos="851"/>
                <w:tab w:val="left" w:pos="993"/>
                <w:tab w:val="left" w:pos="1276"/>
              </w:tabs>
              <w:jc w:val="center"/>
              <w:rPr>
                <w:b/>
                <w:szCs w:val="24"/>
              </w:rPr>
            </w:pPr>
          </w:p>
        </w:tc>
        <w:tc>
          <w:tcPr>
            <w:tcW w:w="3676" w:type="dxa"/>
            <w:gridSpan w:val="2"/>
            <w:vAlign w:val="center"/>
          </w:tcPr>
          <w:p w:rsidR="0040516E" w:rsidRDefault="00B647FE">
            <w:pPr>
              <w:tabs>
                <w:tab w:val="left" w:pos="851"/>
                <w:tab w:val="left" w:pos="993"/>
                <w:tab w:val="left" w:pos="1276"/>
              </w:tabs>
              <w:jc w:val="center"/>
              <w:rPr>
                <w:szCs w:val="24"/>
              </w:rPr>
            </w:pPr>
            <w:r>
              <w:rPr>
                <w:szCs w:val="24"/>
              </w:rPr>
              <w:t>Skaičius</w:t>
            </w:r>
          </w:p>
        </w:tc>
        <w:tc>
          <w:tcPr>
            <w:tcW w:w="3534" w:type="dxa"/>
            <w:gridSpan w:val="2"/>
            <w:vAlign w:val="center"/>
          </w:tcPr>
          <w:p w:rsidR="0040516E" w:rsidRDefault="00B647FE">
            <w:pPr>
              <w:tabs>
                <w:tab w:val="left" w:pos="851"/>
                <w:tab w:val="left" w:pos="993"/>
                <w:tab w:val="left" w:pos="1276"/>
              </w:tabs>
              <w:jc w:val="both"/>
              <w:rPr>
                <w:szCs w:val="24"/>
              </w:rPr>
            </w:pPr>
            <w:r>
              <w:rPr>
                <w:szCs w:val="24"/>
              </w:rPr>
              <w:t>Neribojamas.</w:t>
            </w:r>
          </w:p>
        </w:tc>
      </w:tr>
    </w:tbl>
    <w:p w:rsidR="0040516E" w:rsidRDefault="0040516E">
      <w:pPr>
        <w:tabs>
          <w:tab w:val="left" w:pos="851"/>
          <w:tab w:val="left" w:pos="993"/>
          <w:tab w:val="left" w:pos="1276"/>
        </w:tabs>
        <w:jc w:val="both"/>
        <w:rPr>
          <w:szCs w:val="24"/>
        </w:rPr>
      </w:pPr>
    </w:p>
    <w:p w:rsidR="0040516E" w:rsidRDefault="00B647FE">
      <w:pPr>
        <w:tabs>
          <w:tab w:val="left" w:pos="851"/>
          <w:tab w:val="left" w:pos="993"/>
          <w:tab w:val="left" w:pos="1276"/>
        </w:tabs>
        <w:ind w:firstLine="709"/>
        <w:jc w:val="center"/>
        <w:rPr>
          <w:szCs w:val="24"/>
        </w:rPr>
      </w:pPr>
      <w:r>
        <w:rPr>
          <w:szCs w:val="24"/>
        </w:rPr>
        <w:t>_____________________</w:t>
      </w:r>
    </w:p>
    <w:sectPr w:rsidR="0040516E">
      <w:footnotePr>
        <w:pos w:val="beneathText"/>
      </w:footnotePr>
      <w:pgSz w:w="11905" w:h="16837" w:code="9"/>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6E" w:rsidRDefault="00B647FE">
      <w:pPr>
        <w:suppressAutoHyphens/>
        <w:rPr>
          <w:lang w:eastAsia="lt-LT"/>
        </w:rPr>
      </w:pPr>
      <w:r>
        <w:rPr>
          <w:lang w:eastAsia="lt-LT"/>
        </w:rPr>
        <w:separator/>
      </w:r>
    </w:p>
  </w:endnote>
  <w:endnote w:type="continuationSeparator" w:id="0">
    <w:p w:rsidR="0040516E" w:rsidRDefault="00B647FE">
      <w:pPr>
        <w:suppressAutoHyphens/>
        <w:rPr>
          <w:lang w:eastAsia="lt-LT"/>
        </w:rPr>
      </w:pPr>
      <w:r>
        <w:rPr>
          <w:lang w:eastAsia="lt-LT"/>
        </w:rPr>
        <w:continuationSeparator/>
      </w:r>
    </w:p>
  </w:endnote>
  <w:endnote w:type="continuationNotice" w:id="1">
    <w:p w:rsidR="0040516E" w:rsidRDefault="0040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6E" w:rsidRDefault="0040516E">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6E" w:rsidRDefault="0040516E">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6E" w:rsidRDefault="0040516E">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6E" w:rsidRDefault="00B647FE">
      <w:pPr>
        <w:suppressAutoHyphens/>
        <w:rPr>
          <w:lang w:eastAsia="lt-LT"/>
        </w:rPr>
      </w:pPr>
      <w:r>
        <w:rPr>
          <w:lang w:eastAsia="lt-LT"/>
        </w:rPr>
        <w:separator/>
      </w:r>
    </w:p>
  </w:footnote>
  <w:footnote w:type="continuationSeparator" w:id="0">
    <w:p w:rsidR="0040516E" w:rsidRDefault="00B647FE">
      <w:pPr>
        <w:suppressAutoHyphens/>
        <w:rPr>
          <w:lang w:eastAsia="lt-LT"/>
        </w:rPr>
      </w:pPr>
      <w:r>
        <w:rPr>
          <w:lang w:eastAsia="lt-LT"/>
        </w:rPr>
        <w:continuationSeparator/>
      </w:r>
    </w:p>
  </w:footnote>
  <w:footnote w:type="continuationNotice" w:id="1">
    <w:p w:rsidR="0040516E" w:rsidRDefault="004051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6E" w:rsidRDefault="0040516E">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6E" w:rsidRDefault="00B647FE">
    <w:pPr>
      <w:tabs>
        <w:tab w:val="center" w:pos="4153"/>
        <w:tab w:val="right" w:pos="9100"/>
      </w:tabs>
      <w:suppressAutoHyphens/>
      <w:jc w:val="center"/>
      <w:rPr>
        <w:spacing w:val="10"/>
        <w:sz w:val="20"/>
        <w:lang w:eastAsia="lt-LT"/>
      </w:rPr>
    </w:pPr>
    <w:r>
      <w:rPr>
        <w:spacing w:val="10"/>
        <w:sz w:val="20"/>
        <w:lang w:eastAsia="lt-LT"/>
      </w:rPr>
      <w:fldChar w:fldCharType="begin"/>
    </w:r>
    <w:r>
      <w:rPr>
        <w:spacing w:val="10"/>
        <w:sz w:val="20"/>
        <w:lang w:eastAsia="lt-LT"/>
      </w:rPr>
      <w:instrText>PAGE   \* MERGEFORMAT</w:instrText>
    </w:r>
    <w:r>
      <w:rPr>
        <w:spacing w:val="10"/>
        <w:sz w:val="20"/>
        <w:lang w:eastAsia="lt-LT"/>
      </w:rPr>
      <w:fldChar w:fldCharType="separate"/>
    </w:r>
    <w:r>
      <w:rPr>
        <w:noProof/>
        <w:spacing w:val="10"/>
        <w:sz w:val="20"/>
        <w:lang w:eastAsia="lt-LT"/>
      </w:rPr>
      <w:t>2</w:t>
    </w:r>
    <w:r>
      <w:rPr>
        <w:spacing w:val="10"/>
        <w:sz w:val="20"/>
        <w:lang w:eastAsia="lt-LT"/>
      </w:rPr>
      <w:fldChar w:fldCharType="end"/>
    </w:r>
  </w:p>
  <w:p w:rsidR="0040516E" w:rsidRDefault="0040516E">
    <w:pPr>
      <w:tabs>
        <w:tab w:val="left" w:pos="3344"/>
        <w:tab w:val="left" w:pos="8291"/>
      </w:tabs>
      <w:suppressAutoHyphens/>
      <w:spacing w:before="120" w:after="60"/>
      <w:ind w:left="-17" w:firstLine="17"/>
      <w:jc w:val="center"/>
      <w:rPr>
        <w:b/>
        <w:bCs/>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6E" w:rsidRDefault="0040516E">
    <w:pPr>
      <w:tabs>
        <w:tab w:val="center" w:pos="4153"/>
        <w:tab w:val="right" w:pos="9100"/>
      </w:tabs>
      <w:suppressAutoHyphens/>
      <w:rPr>
        <w:rFonts w:ascii="Tahoma" w:hAnsi="Tahoma"/>
        <w:spacing w:val="10"/>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16"/>
    <w:rsid w:val="0008257F"/>
    <w:rsid w:val="00353416"/>
    <w:rsid w:val="0040516E"/>
    <w:rsid w:val="00713A4A"/>
    <w:rsid w:val="00B647F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5765">
      <w:bodyDiv w:val="1"/>
      <w:marLeft w:val="0"/>
      <w:marRight w:val="0"/>
      <w:marTop w:val="0"/>
      <w:marBottom w:val="0"/>
      <w:divBdr>
        <w:top w:val="none" w:sz="0" w:space="0" w:color="auto"/>
        <w:left w:val="none" w:sz="0" w:space="0" w:color="auto"/>
        <w:bottom w:val="none" w:sz="0" w:space="0" w:color="auto"/>
        <w:right w:val="none" w:sz="0" w:space="0" w:color="auto"/>
      </w:divBdr>
      <w:divsChild>
        <w:div w:id="109596408">
          <w:marLeft w:val="0"/>
          <w:marRight w:val="0"/>
          <w:marTop w:val="0"/>
          <w:marBottom w:val="0"/>
          <w:divBdr>
            <w:top w:val="none" w:sz="0" w:space="0" w:color="auto"/>
            <w:left w:val="none" w:sz="0" w:space="0" w:color="auto"/>
            <w:bottom w:val="none" w:sz="0" w:space="0" w:color="auto"/>
            <w:right w:val="none" w:sz="0" w:space="0" w:color="auto"/>
          </w:divBdr>
        </w:div>
      </w:divsChild>
    </w:div>
    <w:div w:id="950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19cf09c5-daa1-4028-a0ff-74a0be4ec5cc">
      <UserInfo>
        <DisplayName>Živilė Liberienė</DisplayName>
        <AccountId>136</AccountId>
        <AccountType/>
      </UserInfo>
    </SharedWithUser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16" ma:contentTypeDescription="Create a new document." ma:contentTypeScope="" ma:versionID="cbed51abb3ebb5562d1b12ae17bcdfec">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cb53de2b7ada3bdcc52ae469c3d73a7b"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element name="RatedBy" ma:index="1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element name="LikedBy" ma:index="2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1CDB-73C5-4841-972B-AF905D5930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5aad5d0-9c26-490e-8743-a6c7ceabd501"/>
    <ds:schemaRef ds:uri="http://schemas.microsoft.com/sharepoint/v3"/>
    <ds:schemaRef ds:uri="19cf09c5-daa1-4028-a0ff-74a0be4ec5c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3.xml><?xml version="1.0" encoding="utf-8"?>
<ds:datastoreItem xmlns:ds="http://schemas.openxmlformats.org/officeDocument/2006/customXml" ds:itemID="{2DD08170-B531-434A-922A-6D2B6C50E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0F560-596E-4FAC-848C-C7B65B32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11749</Words>
  <Characters>6698</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18411</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2022-12-01T12:24:00Z</dcterms:created>
  <dcterms:modified xsi:type="dcterms:W3CDTF">2022-12-01T13:14:00Z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